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326" w:before="0" w:after="0"/>
        <w:jc w:val="center"/>
        <w:rPr>
          <w:rFonts w:ascii="Arial;sans-serif" w:hAnsi="Arial;sans-serif"/>
          <w:b/>
          <w:color w:val="000000"/>
          <w:sz w:val="22"/>
        </w:rPr>
      </w:pPr>
      <w:bookmarkStart w:id="0" w:name="__DdeLink__284_1000221121"/>
      <w:bookmarkStart w:id="1" w:name="docs-internal-guid-333a4c46-7fff-1d0f-27"/>
      <w:bookmarkEnd w:id="0"/>
      <w:bookmarkEnd w:id="1"/>
      <w:r>
        <w:rPr>
          <w:rFonts w:ascii="Arial;sans-serif" w:hAnsi="Arial;sans-serif"/>
          <w:b/>
          <w:color w:val="000000"/>
          <w:sz w:val="22"/>
        </w:rPr>
        <w:t>VISITA CONSELLER EMPRESA I TREBALL I DIRECCIÓ GENERAL ESS (11.07.2025)</w:t>
      </w:r>
    </w:p>
    <w:p>
      <w:pPr>
        <w:pStyle w:val="BodyText"/>
        <w:bidi w:val="0"/>
        <w:spacing w:lineRule="auto" w:line="326" w:before="0" w:after="0"/>
        <w:jc w:val="center"/>
        <w:rPr>
          <w:rFonts w:ascii="Arial;sans-serif" w:hAnsi="Arial;sans-serif"/>
          <w:b/>
          <w:color w:val="000000"/>
          <w:sz w:val="22"/>
        </w:rPr>
      </w:pPr>
      <w:r>
        <w:rPr>
          <w:rFonts w:ascii="Arial;sans-serif" w:hAnsi="Arial;sans-serif"/>
          <w:b/>
          <w:color w:val="000000"/>
          <w:sz w:val="22"/>
        </w:rPr>
      </w:r>
    </w:p>
    <w:p>
      <w:pPr>
        <w:pStyle w:val="BodyText"/>
        <w:bidi w:val="0"/>
        <w:spacing w:lineRule="auto" w:line="326" w:before="0" w:after="0"/>
        <w:jc w:val="center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  <w:u w:val="single"/>
        </w:rPr>
        <w:t>ESCALETA</w:t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 xml:space="preserve">8.30h </w:t>
      </w:r>
      <w:r>
        <w:rPr>
          <w:rStyle w:val="Lletraperdefectedelpargraf"/>
          <w:rFonts w:ascii="Arial;sans-serif" w:hAnsi="Arial;sans-serif"/>
          <w:color w:val="000000"/>
          <w:sz w:val="22"/>
        </w:rPr>
        <w:t>– Arribada dels assistents a la reunió</w:t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 xml:space="preserve">9:00h – </w:t>
      </w:r>
      <w:r>
        <w:rPr>
          <w:rStyle w:val="Lletraperdefectedelpargraf"/>
          <w:rFonts w:ascii="Arial;sans-serif" w:hAnsi="Arial;sans-serif"/>
          <w:color w:val="000000"/>
          <w:sz w:val="22"/>
        </w:rPr>
        <w:t xml:space="preserve">Arribada Honorable Sr. </w:t>
      </w: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>Miquel Sàmper</w:t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ab/>
        <w:t>Salutacions:</w:t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ab/>
        <w:t xml:space="preserve">Il. Alcalde – Isaac Ramió </w:t>
        <w:tab/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ab/>
        <w:t>Sr. David Bonvehí</w:t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ab/>
        <w:t>Sr. Pau Rich</w:t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 xml:space="preserve">            </w:t>
      </w: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>Sra. Sandra Teixidor</w:t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/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>9:05h –</w:t>
      </w:r>
      <w:r>
        <w:rPr>
          <w:rStyle w:val="Lletraperdefectedelpargraf"/>
          <w:rFonts w:ascii="Arial;sans-serif" w:hAnsi="Arial;sans-serif"/>
          <w:color w:val="000000"/>
          <w:sz w:val="22"/>
        </w:rPr>
        <w:t xml:space="preserve"> Benvinguda a peu dret a càrrec de l’Il·lm. Sr. Isaac Ramió – Alcalde de Sarrià de Ter</w:t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/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>9:10h –</w:t>
      </w:r>
      <w:r>
        <w:rPr>
          <w:rStyle w:val="Lletraperdefectedelpargraf"/>
          <w:rFonts w:ascii="Arial;sans-serif" w:hAnsi="Arial;sans-serif"/>
          <w:color w:val="000000"/>
          <w:sz w:val="22"/>
        </w:rPr>
        <w:t xml:space="preserve"> Intervenció del Sr. David Bonvehí – Director General d’Economia Social i Solidària i Cooperativisme</w:t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/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>9:15h –</w:t>
      </w:r>
      <w:r>
        <w:rPr>
          <w:rStyle w:val="Lletraperdefectedelpargraf"/>
          <w:rFonts w:ascii="Arial;sans-serif" w:hAnsi="Arial;sans-serif"/>
          <w:color w:val="000000"/>
          <w:sz w:val="22"/>
        </w:rPr>
        <w:t xml:space="preserve"> Intervenció d’ Alba Rojas – Membre de l’Oficina Tècnica de la Xarxa d’Ateneus de Catalunya </w:t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/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>9:25h –</w:t>
      </w:r>
      <w:r>
        <w:rPr>
          <w:rStyle w:val="Lletraperdefectedelpargraf"/>
          <w:rFonts w:ascii="Arial;sans-serif" w:hAnsi="Arial;sans-serif"/>
          <w:color w:val="000000"/>
          <w:sz w:val="22"/>
        </w:rPr>
        <w:t xml:space="preserve"> Intervenció de Sandra Teixidor – Coordinadora de l’Ateneu Terres Gironines</w:t>
      </w:r>
    </w:p>
    <w:p>
      <w:pPr>
        <w:pStyle w:val="BodyText"/>
        <w:numPr>
          <w:ilvl w:val="0"/>
          <w:numId w:val="1"/>
        </w:numPr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 xml:space="preserve">Organització de l’Ateneu: orígen, membres, desplegament territorial i sectorial, serveis, cercles-comissions.  </w:t>
      </w:r>
    </w:p>
    <w:p>
      <w:pPr>
        <w:pStyle w:val="BodyText"/>
        <w:numPr>
          <w:ilvl w:val="0"/>
          <w:numId w:val="1"/>
        </w:numPr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>Finalitza la intervenció resumint  la tasca de l’Ateneu i que ha de servir de titular de la visita i on s’emmarquen les següents intervencions:</w:t>
      </w:r>
    </w:p>
    <w:p>
      <w:pPr>
        <w:pStyle w:val="BodyText"/>
        <w:numPr>
          <w:ilvl w:val="0"/>
          <w:numId w:val="0"/>
        </w:numPr>
        <w:bidi w:val="0"/>
        <w:spacing w:lineRule="auto" w:line="326" w:before="0" w:after="0"/>
        <w:ind w:hanging="0" w:start="720"/>
        <w:jc w:val="start"/>
        <w:rPr>
          <w:rStyle w:val="Lletraperdefectedelpargraf"/>
          <w:rFonts w:ascii="Arial;sans-serif" w:hAnsi="Arial;sans-serif"/>
          <w:b/>
          <w:bCs/>
          <w:color w:val="000000"/>
          <w:sz w:val="22"/>
        </w:rPr>
      </w:pPr>
      <w:r>
        <w:rPr>
          <w:rFonts w:ascii="Arial;sans-serif" w:hAnsi="Arial;sans-serif"/>
          <w:b/>
          <w:bCs/>
          <w:color w:val="000000"/>
          <w:sz w:val="22"/>
        </w:rPr>
      </w:r>
    </w:p>
    <w:p>
      <w:pPr>
        <w:pStyle w:val="BodyText"/>
        <w:numPr>
          <w:ilvl w:val="0"/>
          <w:numId w:val="0"/>
        </w:numPr>
        <w:shd w:fill="FFF5CE" w:val="clear"/>
        <w:bidi w:val="0"/>
        <w:spacing w:lineRule="auto" w:line="326" w:before="0" w:after="0"/>
        <w:ind w:hanging="0" w:start="720"/>
        <w:jc w:val="start"/>
        <w:rPr/>
      </w:pP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u w:val="single"/>
          <w:shd w:fill="FFF5CE" w:val="clear"/>
        </w:rPr>
        <w:t xml:space="preserve">Fem créixer l’Economia Social / </w:t>
      </w: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u w:val="single"/>
        </w:rPr>
        <w:t>Generació d’ecosistema/ referencialitat</w:t>
      </w:r>
    </w:p>
    <w:p>
      <w:pPr>
        <w:pStyle w:val="BodyText"/>
        <w:widowControl/>
        <w:shd w:val="clear" w:fill="FFF5CE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shd w:fill="FFF5CE" w:val="clear"/>
        </w:rPr>
        <w:tab/>
        <w:t xml:space="preserve">Som un agent  singular amb flexibilitat i cintura per arribar al territori i als seus diversos </w:t>
        <w:tab/>
        <w:t xml:space="preserve">sectors  i públics que ens diferencia d’altres agents. </w:t>
      </w:r>
    </w:p>
    <w:p>
      <w:pPr>
        <w:pStyle w:val="BodyText"/>
        <w:spacing w:lineRule="auto" w:line="326" w:before="0" w:after="0"/>
        <w:jc w:val="both"/>
        <w:rPr/>
      </w:pP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shd w:fill="auto" w:val="clear"/>
        </w:rPr>
        <w:t xml:space="preserve"> </w:t>
      </w: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shd w:fill="auto" w:val="clear"/>
        </w:rPr>
        <w:tab/>
        <w:tab/>
        <w:t xml:space="preserve">      -     </w:t>
      </w: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shd w:fill="FFF5CE" w:val="clear"/>
        </w:rPr>
        <w:t xml:space="preserve">Permeabilitat  amb les administracions públiques i diferents tipus d’actors </w:t>
      </w:r>
    </w:p>
    <w:p>
      <w:pPr>
        <w:pStyle w:val="BodyText"/>
        <w:numPr>
          <w:ilvl w:val="0"/>
          <w:numId w:val="0"/>
        </w:numPr>
        <w:spacing w:lineRule="auto" w:line="326" w:before="0" w:after="0"/>
        <w:ind w:hanging="0" w:start="2160"/>
        <w:jc w:val="both"/>
        <w:rPr/>
      </w:pP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shd w:fill="FFF5CE" w:val="clear"/>
        </w:rPr>
        <w:t>d’àmbit públic: CCs, Ajuntaments, UdG, serveis territorials de la Generalitat</w:t>
      </w:r>
    </w:p>
    <w:p>
      <w:pPr>
        <w:pStyle w:val="BodyText"/>
        <w:numPr>
          <w:ilvl w:val="0"/>
          <w:numId w:val="0"/>
        </w:numPr>
        <w:spacing w:lineRule="auto" w:line="326" w:before="0" w:after="0"/>
        <w:ind w:hanging="0" w:start="2160"/>
        <w:jc w:val="both"/>
        <w:rPr/>
      </w:pP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shd w:fill="FFF5CE" w:val="clear"/>
        </w:rPr>
        <w:t xml:space="preserve">Àmbit privat i comunitari: associacions, emprenedoria, cooperatives, cooperatives de 2n grau, comunitats-ciutadania.., també economia tradicional. </w:t>
      </w:r>
    </w:p>
    <w:p>
      <w:pPr>
        <w:pStyle w:val="BodyText"/>
        <w:shd w:val="clear" w:fill="FFF5CE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shd w:fill="auto" w:val="clear"/>
        </w:rPr>
        <w:t xml:space="preserve">           </w:t>
      </w: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shd w:fill="FFF5CE" w:val="clear"/>
        </w:rPr>
        <w:t xml:space="preserve">Distribució en sectors econòmics diferents  i diversos territoris, ajudem a l’articulació de </w:t>
        <w:tab/>
        <w:t xml:space="preserve">l’ESS i a la intercooperació . </w:t>
      </w: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shd w:fill="auto" w:val="clear"/>
        </w:rPr>
        <w:t xml:space="preserve">65% de les cooperatives creades a la província han passat </w:t>
        <w:tab/>
        <w:t xml:space="preserve">per l’Ateneu. </w:t>
        <w:tab/>
      </w:r>
    </w:p>
    <w:p>
      <w:pPr>
        <w:pStyle w:val="BodyText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  <w:shd w:fill="FFF5CE" w:val="clear"/>
        </w:rPr>
        <w:tab/>
      </w: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u w:val="single"/>
          <w:shd w:fill="FFF5CE" w:val="clear"/>
        </w:rPr>
        <w:t>Dinamització dels recursos públics</w:t>
      </w:r>
      <w:r>
        <w:rPr>
          <w:rStyle w:val="Lletraperdefectedelpargraf"/>
          <w:rFonts w:ascii="Arial;sans-serif" w:hAnsi="Arial;sans-serif"/>
          <w:b/>
          <w:bCs/>
          <w:color w:val="000000"/>
          <w:sz w:val="22"/>
          <w:shd w:fill="FFF5CE" w:val="clear"/>
        </w:rPr>
        <w:t xml:space="preserve">  </w:t>
      </w: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shd w:fill="FFF5CE" w:val="clear"/>
        </w:rPr>
        <w:t xml:space="preserve">A través dels Ateneus, aterrem recursos </w:t>
        <w:tab/>
        <w:t xml:space="preserve">públics ,s’aconsegueix un millor aprofitament dels recursos públics perquè ajudem a que </w:t>
        <w:tab/>
        <w:t xml:space="preserve">arribin:som vehiculadors de recursos:subvencions: singulars, tiquet rural ,peac, col.laborem </w:t>
        <w:tab/>
        <w:t xml:space="preserve">amb programes :ocell de foc, comunalitats,                                                              </w:t>
        <w:tab/>
      </w: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u w:val="single"/>
          <w:shd w:fill="FFF5CE" w:val="clear"/>
        </w:rPr>
        <w:t>Incidència territorial</w:t>
      </w:r>
    </w:p>
    <w:p>
      <w:pPr>
        <w:pStyle w:val="BodyText"/>
        <w:numPr>
          <w:ilvl w:val="0"/>
          <w:numId w:val="0"/>
        </w:numPr>
        <w:ind w:hanging="0" w:start="720"/>
        <w:rPr>
          <w:rStyle w:val="Lletraperdefectedelpargraf"/>
          <w:rFonts w:ascii="Arial;sans-serif" w:hAnsi="Arial;sans-serif"/>
          <w:b/>
          <w:bCs/>
          <w:color w:val="000000"/>
          <w:sz w:val="22"/>
          <w:shd w:fill="FFF5CE" w:val="clear"/>
        </w:rPr>
      </w:pPr>
      <w:r>
        <w:rPr>
          <w:rFonts w:ascii="Arial;sans-serif" w:hAnsi="Arial;sans-serif"/>
          <w:b/>
          <w:bCs/>
          <w:color w:val="000000"/>
          <w:sz w:val="22"/>
          <w:shd w:fill="FFF5CE" w:val="clear"/>
        </w:rPr>
      </w:r>
    </w:p>
    <w:p>
      <w:pPr>
        <w:pStyle w:val="BodyText"/>
        <w:bidi w:val="0"/>
        <w:spacing w:lineRule="auto" w:line="326" w:before="0" w:after="0"/>
        <w:jc w:val="both"/>
        <w:rPr>
          <w:rStyle w:val="Lletraperdefectedelpargraf"/>
          <w:rFonts w:ascii="Arial;sans-serif" w:hAnsi="Arial;sans-serif"/>
          <w:color w:val="000000"/>
          <w:sz w:val="22"/>
        </w:rPr>
      </w:pPr>
      <w:r>
        <w:rPr>
          <w:rFonts w:ascii="Arial;sans-serif" w:hAnsi="Arial;sans-serif"/>
          <w:color w:val="000000"/>
          <w:sz w:val="22"/>
        </w:rPr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>9:35h –</w:t>
      </w:r>
      <w:r>
        <w:rPr>
          <w:rStyle w:val="Lletraperdefectedelpargraf"/>
          <w:rFonts w:ascii="Arial;sans-serif" w:hAnsi="Arial;sans-serif"/>
          <w:color w:val="000000"/>
          <w:sz w:val="22"/>
        </w:rPr>
        <w:t xml:space="preserve"> Inici de la reunió amb l’Ateneu Cooperatiu</w:t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 xml:space="preserve"> </w:t>
      </w:r>
    </w:p>
    <w:p>
      <w:pPr>
        <w:pStyle w:val="BodyText"/>
        <w:numPr>
          <w:ilvl w:val="0"/>
          <w:numId w:val="2"/>
        </w:numPr>
        <w:bidi w:val="0"/>
        <w:spacing w:lineRule="auto" w:line="326" w:before="0" w:after="0"/>
        <w:jc w:val="start"/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>Ronda de presentació:ens han demanat molt ràpida; nom persona, nom entitat, què feu (àmbit professional):</w:t>
      </w:r>
      <w:r>
        <w:rPr>
          <w:rStyle w:val="Lletraperdefectedelpargraf"/>
          <w:rFonts w:ascii="Arial;sans-serif" w:hAnsi="Arial;sans-serif"/>
          <w:b/>
          <w:bCs/>
          <w:color w:val="ED4C05"/>
          <w:sz w:val="22"/>
          <w:shd w:fill="auto" w:val="clear"/>
        </w:rPr>
        <w:t>20’’ per entitat</w:t>
      </w:r>
      <w:r>
        <w:rPr>
          <w:rStyle w:val="Lletraperdefectedelpargraf"/>
          <w:rFonts w:ascii="Arial;sans-serif" w:hAnsi="Arial;sans-serif"/>
          <w:b/>
          <w:bCs/>
          <w:color w:val="000000"/>
          <w:sz w:val="22"/>
          <w:shd w:fill="auto" w:val="clear"/>
        </w:rPr>
        <w:t>,</w:t>
      </w: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 xml:space="preserve"> sinó no tindrem temps per l’espai següent (som 30 persones en conjunt)</w:t>
      </w:r>
    </w:p>
    <w:p>
      <w:pPr>
        <w:pStyle w:val="BodyText"/>
        <w:numPr>
          <w:ilvl w:val="0"/>
          <w:numId w:val="1"/>
        </w:numPr>
        <w:rPr/>
      </w:pPr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>Reunió :</w:t>
      </w:r>
    </w:p>
    <w:p>
      <w:pPr>
        <w:pStyle w:val="BodyText"/>
        <w:numPr>
          <w:ilvl w:val="0"/>
          <w:numId w:val="0"/>
        </w:numPr>
        <w:ind w:hanging="0" w:start="720"/>
        <w:rPr/>
      </w:pP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</w:rPr>
        <w:t>Expliquem  l’impacte, projectes que serveixin d’exemple de les actuacions dels diversos</w:t>
      </w: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  <w:u w:val="none"/>
        </w:rPr>
        <w:t xml:space="preserve"> Cercles</w:t>
      </w: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</w:rPr>
        <w:t xml:space="preserve"> i Comissions per part de l’equip tècnic.   </w:t>
      </w:r>
    </w:p>
    <w:p>
      <w:pPr>
        <w:pStyle w:val="BodyText"/>
        <w:numPr>
          <w:ilvl w:val="0"/>
          <w:numId w:val="0"/>
        </w:numPr>
        <w:ind w:hanging="0" w:start="720"/>
        <w:rPr/>
      </w:pPr>
      <w:r>
        <w:rPr>
          <w:rStyle w:val="Lletraperdefectedelpargraf"/>
          <w:rFonts w:ascii="Arial;sans-serif" w:hAnsi="Arial;sans-serif"/>
          <w:b w:val="false"/>
          <w:bCs w:val="false"/>
          <w:color w:val="000000"/>
          <w:sz w:val="22"/>
        </w:rPr>
        <w:t>Per part dels ens públics locals:  XMESS, Ajuntaments: què aporta, significa pels ens locals l’Ateneu, referencialitat, recorregut,  potencialitats que s’hi veuen...</w:t>
      </w:r>
    </w:p>
    <w:p>
      <w:pPr>
        <w:pStyle w:val="BodyText"/>
        <w:bidi w:val="0"/>
        <w:spacing w:lineRule="auto" w:line="326" w:before="0" w:after="0"/>
        <w:jc w:val="start"/>
        <w:rPr>
          <w:rStyle w:val="Lletraperdefectedelpargraf"/>
          <w:rFonts w:ascii="Arial;sans-serif" w:hAnsi="Arial;sans-serif"/>
          <w:b/>
          <w:bCs/>
          <w:color w:val="000000"/>
          <w:sz w:val="22"/>
        </w:rPr>
      </w:pPr>
      <w:r>
        <w:rPr/>
      </w:r>
    </w:p>
    <w:p>
      <w:pPr>
        <w:pStyle w:val="BodyText"/>
        <w:bidi w:val="0"/>
        <w:spacing w:lineRule="auto" w:line="326" w:before="0" w:after="0"/>
        <w:jc w:val="start"/>
        <w:rPr>
          <w:rStyle w:val="Lletraperdefectedelpargraf"/>
          <w:rFonts w:ascii="Arial;sans-serif" w:hAnsi="Arial;sans-serif"/>
          <w:color w:val="000000"/>
          <w:sz w:val="22"/>
        </w:rPr>
      </w:pPr>
      <w:r>
        <w:rPr>
          <w:rFonts w:ascii="Arial;sans-serif" w:hAnsi="Arial;sans-serif"/>
          <w:color w:val="000000"/>
          <w:sz w:val="22"/>
        </w:rPr>
      </w:r>
    </w:p>
    <w:p>
      <w:pPr>
        <w:pStyle w:val="BodyText"/>
        <w:bidi w:val="0"/>
        <w:spacing w:lineRule="auto" w:line="326" w:before="0" w:after="0"/>
        <w:jc w:val="start"/>
        <w:rPr/>
      </w:pPr>
      <w:bookmarkStart w:id="2" w:name="__DdeLink__284_1000221121_Copia_1"/>
      <w:bookmarkEnd w:id="2"/>
      <w:r>
        <w:rPr>
          <w:rStyle w:val="Lletraperdefectedelpargraf"/>
          <w:rFonts w:ascii="Arial;sans-serif" w:hAnsi="Arial;sans-serif"/>
          <w:b/>
          <w:bCs/>
          <w:color w:val="000000"/>
          <w:sz w:val="22"/>
        </w:rPr>
        <w:t>10:10h –</w:t>
      </w:r>
      <w:r>
        <w:rPr>
          <w:rStyle w:val="Lletraperdefectedelpargraf"/>
          <w:rFonts w:ascii="Arial;sans-serif" w:hAnsi="Arial;sans-serif"/>
          <w:color w:val="000000"/>
          <w:sz w:val="22"/>
        </w:rPr>
        <w:t xml:space="preserve"> Cloenda de la reunió a càrrec de l’Hble Miquel Sàmper</w:t>
      </w:r>
    </w:p>
    <w:p>
      <w:pPr>
        <w:pStyle w:val="BodyText"/>
        <w:bidi w:val="0"/>
        <w:spacing w:lineRule="auto" w:line="326" w:before="0" w:after="0"/>
        <w:jc w:val="start"/>
        <w:rPr/>
      </w:pPr>
      <w:r>
        <w:rPr/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Calibri Light">
    <w:charset w:val="01" w:characterSet="utf-8"/>
    <w:family w:val="swiss"/>
    <w:pitch w:val="variable"/>
  </w:font>
  <w:font w:name="OpenSymbol">
    <w:altName w:val="Arial Unicode MS"/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Arial">
    <w:altName w:val="sans-serif"/>
    <w:charset w:val="01" w:characterSet="utf-8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start"/>
      <w:pPr>
        <w:tabs>
          <w:tab w:val="num" w:pos="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start"/>
      <w:pPr>
        <w:tabs>
          <w:tab w:val="num" w:pos="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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start"/>
      <w:pPr>
        <w:tabs>
          <w:tab w:val="num" w:pos="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start"/>
      <w:pPr>
        <w:tabs>
          <w:tab w:val="num" w:pos="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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start"/>
      <w:pPr>
        <w:tabs>
          <w:tab w:val="num" w:pos="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start"/>
      <w:pPr>
        <w:tabs>
          <w:tab w:val="num" w:pos="0"/>
        </w:tabs>
        <w:ind w:star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Noto Serif SC" w:cs="Noto 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Carlito" w:hAnsi="Carlito" w:eastAsia="Noto Serif SC" w:cs="Noto Sans"/>
      <w:color w:val="auto"/>
      <w:kern w:val="2"/>
      <w:sz w:val="24"/>
      <w:szCs w:val="24"/>
      <w:lang w:val="es-E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uppressAutoHyphens w:val="true"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uppressAutoHyphens w:val="true"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uppressAutoHyphens w:val="true"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uppressAutoHyphens w:val="true"/>
      <w:spacing w:before="80" w:after="40"/>
      <w:outlineLvl w:val="3"/>
    </w:pPr>
    <w:rPr>
      <w:i/>
      <w:iCs/>
      <w:color w:val="2F5496"/>
    </w:rPr>
  </w:style>
  <w:style w:type="paragraph" w:styleId="Heading5">
    <w:name w:val="heading 5"/>
    <w:basedOn w:val="Normal"/>
    <w:next w:val="Normal"/>
    <w:qFormat/>
    <w:pPr>
      <w:keepNext w:val="true"/>
      <w:keepLines/>
      <w:suppressAutoHyphens w:val="true"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qFormat/>
    <w:pPr>
      <w:keepNext w:val="true"/>
      <w:keepLines/>
      <w:suppressAutoHyphens w:val="true"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qFormat/>
    <w:pPr>
      <w:keepNext w:val="true"/>
      <w:keepLines/>
      <w:suppressAutoHyphens w:val="true"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qFormat/>
    <w:pPr>
      <w:keepNext w:val="true"/>
      <w:keepLines/>
      <w:suppressAutoHyphens w:val="true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suppressAutoHyphens w:val="true"/>
      <w:outlineLvl w:val="8"/>
    </w:pPr>
    <w:rPr>
      <w:color w:val="272727"/>
    </w:rPr>
  </w:style>
  <w:style w:type="character" w:styleId="WWCharLFO10LVL9">
    <w:name w:val="WW_CharLFO10LVL9"/>
    <w:qFormat/>
    <w:rPr>
      <w:rFonts w:ascii="OpenSymbol" w:hAnsi="OpenSymbol" w:eastAsia="OpenSymbol" w:cs="OpenSymbol"/>
    </w:rPr>
  </w:style>
  <w:style w:type="character" w:styleId="WWCharLFO10LVL8">
    <w:name w:val="WW_CharLFO10LVL8"/>
    <w:qFormat/>
    <w:rPr>
      <w:rFonts w:ascii="OpenSymbol" w:hAnsi="OpenSymbol" w:eastAsia="OpenSymbol" w:cs="OpenSymbol"/>
    </w:rPr>
  </w:style>
  <w:style w:type="character" w:styleId="WWCharLFO10LVL7">
    <w:name w:val="WW_CharLFO10LVL7"/>
    <w:qFormat/>
    <w:rPr>
      <w:rFonts w:ascii="OpenSymbol" w:hAnsi="OpenSymbol" w:eastAsia="OpenSymbol" w:cs="OpenSymbol"/>
    </w:rPr>
  </w:style>
  <w:style w:type="character" w:styleId="WWCharLFO10LVL6">
    <w:name w:val="WW_CharLFO10LVL6"/>
    <w:qFormat/>
    <w:rPr>
      <w:rFonts w:ascii="OpenSymbol" w:hAnsi="OpenSymbol" w:eastAsia="OpenSymbol" w:cs="OpenSymbol"/>
    </w:rPr>
  </w:style>
  <w:style w:type="character" w:styleId="WWCharLFO10LVL5">
    <w:name w:val="WW_CharLFO10LVL5"/>
    <w:qFormat/>
    <w:rPr>
      <w:rFonts w:ascii="OpenSymbol" w:hAnsi="OpenSymbol" w:eastAsia="OpenSymbol" w:cs="OpenSymbol"/>
    </w:rPr>
  </w:style>
  <w:style w:type="character" w:styleId="WWCharLFO10LVL4">
    <w:name w:val="WW_CharLFO10LVL4"/>
    <w:qFormat/>
    <w:rPr>
      <w:rFonts w:ascii="OpenSymbol" w:hAnsi="OpenSymbol" w:eastAsia="OpenSymbol" w:cs="OpenSymbol"/>
    </w:rPr>
  </w:style>
  <w:style w:type="character" w:styleId="WWCharLFO10LVL3">
    <w:name w:val="WW_CharLFO10LVL3"/>
    <w:qFormat/>
    <w:rPr>
      <w:rFonts w:ascii="OpenSymbol" w:hAnsi="OpenSymbol" w:eastAsia="OpenSymbol" w:cs="OpenSymbol"/>
    </w:rPr>
  </w:style>
  <w:style w:type="character" w:styleId="WWCharLFO10LVL2">
    <w:name w:val="WW_CharLFO10LVL2"/>
    <w:qFormat/>
    <w:rPr>
      <w:rFonts w:ascii="OpenSymbol" w:hAnsi="OpenSymbol" w:eastAsia="OpenSymbol" w:cs="OpenSymbol"/>
    </w:rPr>
  </w:style>
  <w:style w:type="character" w:styleId="WWCharLFO10LVL1">
    <w:name w:val="WW_CharLFO10LVL1"/>
    <w:qFormat/>
    <w:rPr>
      <w:rFonts w:ascii="OpenSymbol" w:hAnsi="OpenSymbol" w:eastAsia="OpenSymbol" w:cs="OpenSymbol"/>
    </w:rPr>
  </w:style>
  <w:style w:type="character" w:styleId="WWCharLFO9LVL9">
    <w:name w:val="WW_CharLFO9LVL9"/>
    <w:qFormat/>
    <w:rPr>
      <w:rFonts w:ascii="OpenSymbol" w:hAnsi="OpenSymbol" w:eastAsia="OpenSymbol" w:cs="OpenSymbol"/>
    </w:rPr>
  </w:style>
  <w:style w:type="character" w:styleId="WWCharLFO9LVL8">
    <w:name w:val="WW_CharLFO9LVL8"/>
    <w:qFormat/>
    <w:rPr>
      <w:rFonts w:ascii="OpenSymbol" w:hAnsi="OpenSymbol" w:eastAsia="OpenSymbol" w:cs="OpenSymbol"/>
    </w:rPr>
  </w:style>
  <w:style w:type="character" w:styleId="WWCharLFO9LVL7">
    <w:name w:val="WW_CharLFO9LVL7"/>
    <w:qFormat/>
    <w:rPr>
      <w:rFonts w:ascii="OpenSymbol" w:hAnsi="OpenSymbol" w:eastAsia="OpenSymbol" w:cs="OpenSymbol"/>
    </w:rPr>
  </w:style>
  <w:style w:type="character" w:styleId="WWCharLFO9LVL6">
    <w:name w:val="WW_CharLFO9LVL6"/>
    <w:qFormat/>
    <w:rPr>
      <w:rFonts w:ascii="OpenSymbol" w:hAnsi="OpenSymbol" w:eastAsia="OpenSymbol" w:cs="OpenSymbol"/>
    </w:rPr>
  </w:style>
  <w:style w:type="character" w:styleId="WWCharLFO9LVL5">
    <w:name w:val="WW_CharLFO9LVL5"/>
    <w:qFormat/>
    <w:rPr>
      <w:rFonts w:ascii="OpenSymbol" w:hAnsi="OpenSymbol" w:eastAsia="OpenSymbol" w:cs="OpenSymbol"/>
    </w:rPr>
  </w:style>
  <w:style w:type="character" w:styleId="WWCharLFO9LVL4">
    <w:name w:val="WW_CharLFO9LVL4"/>
    <w:qFormat/>
    <w:rPr>
      <w:rFonts w:ascii="OpenSymbol" w:hAnsi="OpenSymbol" w:eastAsia="OpenSymbol" w:cs="OpenSymbol"/>
    </w:rPr>
  </w:style>
  <w:style w:type="character" w:styleId="WWCharLFO9LVL3">
    <w:name w:val="WW_CharLFO9LVL3"/>
    <w:qFormat/>
    <w:rPr>
      <w:rFonts w:ascii="OpenSymbol" w:hAnsi="OpenSymbol" w:eastAsia="OpenSymbol" w:cs="OpenSymbol"/>
    </w:rPr>
  </w:style>
  <w:style w:type="character" w:styleId="WWCharLFO9LVL2">
    <w:name w:val="WW_CharLFO9LVL2"/>
    <w:qFormat/>
    <w:rPr>
      <w:rFonts w:ascii="OpenSymbol" w:hAnsi="OpenSymbol" w:eastAsia="OpenSymbol" w:cs="OpenSymbol"/>
    </w:rPr>
  </w:style>
  <w:style w:type="character" w:styleId="WWCharLFO9LVL1">
    <w:name w:val="WW_CharLFO9LVL1"/>
    <w:qFormat/>
    <w:rPr>
      <w:rFonts w:ascii="OpenSymbol" w:hAnsi="OpenSymbol" w:eastAsia="OpenSymbol" w:cs="OpenSymbol"/>
    </w:rPr>
  </w:style>
  <w:style w:type="character" w:styleId="WWCharLFO8LVL9">
    <w:name w:val="WW_CharLFO8LVL9"/>
    <w:qFormat/>
    <w:rPr>
      <w:rFonts w:ascii="OpenSymbol" w:hAnsi="OpenSymbol" w:eastAsia="OpenSymbol" w:cs="OpenSymbol"/>
    </w:rPr>
  </w:style>
  <w:style w:type="character" w:styleId="WWCharLFO8LVL8">
    <w:name w:val="WW_CharLFO8LVL8"/>
    <w:qFormat/>
    <w:rPr>
      <w:rFonts w:ascii="OpenSymbol" w:hAnsi="OpenSymbol" w:eastAsia="OpenSymbol" w:cs="OpenSymbol"/>
    </w:rPr>
  </w:style>
  <w:style w:type="character" w:styleId="WWCharLFO8LVL7">
    <w:name w:val="WW_CharLFO8LVL7"/>
    <w:qFormat/>
    <w:rPr>
      <w:rFonts w:ascii="OpenSymbol" w:hAnsi="OpenSymbol" w:eastAsia="OpenSymbol" w:cs="OpenSymbol"/>
    </w:rPr>
  </w:style>
  <w:style w:type="character" w:styleId="WWCharLFO8LVL6">
    <w:name w:val="WW_CharLFO8LVL6"/>
    <w:qFormat/>
    <w:rPr>
      <w:rFonts w:ascii="OpenSymbol" w:hAnsi="OpenSymbol" w:eastAsia="OpenSymbol" w:cs="OpenSymbol"/>
    </w:rPr>
  </w:style>
  <w:style w:type="character" w:styleId="WWCharLFO8LVL5">
    <w:name w:val="WW_CharLFO8LVL5"/>
    <w:qFormat/>
    <w:rPr>
      <w:rFonts w:ascii="OpenSymbol" w:hAnsi="OpenSymbol" w:eastAsia="OpenSymbol" w:cs="OpenSymbol"/>
    </w:rPr>
  </w:style>
  <w:style w:type="character" w:styleId="WWCharLFO8LVL4">
    <w:name w:val="WW_CharLFO8LVL4"/>
    <w:qFormat/>
    <w:rPr>
      <w:rFonts w:ascii="OpenSymbol" w:hAnsi="OpenSymbol" w:eastAsia="OpenSymbol" w:cs="OpenSymbol"/>
    </w:rPr>
  </w:style>
  <w:style w:type="character" w:styleId="WWCharLFO8LVL3">
    <w:name w:val="WW_CharLFO8LVL3"/>
    <w:qFormat/>
    <w:rPr>
      <w:rFonts w:ascii="OpenSymbol" w:hAnsi="OpenSymbol" w:eastAsia="OpenSymbol" w:cs="OpenSymbol"/>
    </w:rPr>
  </w:style>
  <w:style w:type="character" w:styleId="WWCharLFO8LVL2">
    <w:name w:val="WW_CharLFO8LVL2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OpenSymbol" w:hAnsi="OpenSymbol" w:eastAsia="OpenSymbol" w:cs="OpenSymbol"/>
    </w:rPr>
  </w:style>
  <w:style w:type="character" w:styleId="WWCharLFO7LVL9">
    <w:name w:val="WW_CharLFO7LVL9"/>
    <w:qFormat/>
    <w:rPr>
      <w:rFonts w:ascii="OpenSymbol" w:hAnsi="OpenSymbol" w:eastAsia="OpenSymbol" w:cs="OpenSymbol"/>
    </w:rPr>
  </w:style>
  <w:style w:type="character" w:styleId="WWCharLFO7LVL8">
    <w:name w:val="WW_CharLFO7LVL8"/>
    <w:qFormat/>
    <w:rPr>
      <w:rFonts w:ascii="OpenSymbol" w:hAnsi="OpenSymbol" w:eastAsia="OpenSymbol" w:cs="OpenSymbol"/>
    </w:rPr>
  </w:style>
  <w:style w:type="character" w:styleId="WWCharLFO7LVL7">
    <w:name w:val="WW_CharLFO7LVL7"/>
    <w:qFormat/>
    <w:rPr>
      <w:rFonts w:ascii="OpenSymbol" w:hAnsi="OpenSymbol" w:eastAsia="OpenSymbol" w:cs="OpenSymbol"/>
    </w:rPr>
  </w:style>
  <w:style w:type="character" w:styleId="WWCharLFO7LVL6">
    <w:name w:val="WW_CharLFO7LVL6"/>
    <w:qFormat/>
    <w:rPr>
      <w:rFonts w:ascii="OpenSymbol" w:hAnsi="OpenSymbol" w:eastAsia="OpenSymbol" w:cs="OpenSymbol"/>
    </w:rPr>
  </w:style>
  <w:style w:type="character" w:styleId="WWCharLFO7LVL5">
    <w:name w:val="WW_CharLFO7LVL5"/>
    <w:qFormat/>
    <w:rPr>
      <w:rFonts w:ascii="OpenSymbol" w:hAnsi="OpenSymbol" w:eastAsia="OpenSymbol" w:cs="OpenSymbol"/>
    </w:rPr>
  </w:style>
  <w:style w:type="character" w:styleId="WWCharLFO7LVL4">
    <w:name w:val="WW_CharLFO7LVL4"/>
    <w:qFormat/>
    <w:rPr>
      <w:rFonts w:ascii="OpenSymbol" w:hAnsi="OpenSymbol" w:eastAsia="OpenSymbol" w:cs="OpenSymbol"/>
    </w:rPr>
  </w:style>
  <w:style w:type="character" w:styleId="WWCharLFO7LVL3">
    <w:name w:val="WW_CharLFO7LVL3"/>
    <w:qFormat/>
    <w:rPr>
      <w:rFonts w:ascii="OpenSymbol" w:hAnsi="OpenSymbol" w:eastAsia="OpenSymbol" w:cs="OpenSymbol"/>
    </w:rPr>
  </w:style>
  <w:style w:type="character" w:styleId="WWCharLFO7LVL2">
    <w:name w:val="WW_CharLFO7LVL2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OpenSymbol" w:hAnsi="OpenSymbol" w:eastAsia="OpenSymbol" w:cs="OpenSymbol"/>
    </w:rPr>
  </w:style>
  <w:style w:type="character" w:styleId="WWCharLFO6LVL9">
    <w:name w:val="WW_CharLFO6LVL9"/>
    <w:qFormat/>
    <w:rPr>
      <w:rFonts w:ascii="OpenSymbol" w:hAnsi="OpenSymbol" w:eastAsia="OpenSymbol" w:cs="OpenSymbol"/>
    </w:rPr>
  </w:style>
  <w:style w:type="character" w:styleId="WWCharLFO6LVL8">
    <w:name w:val="WW_CharLFO6LVL8"/>
    <w:qFormat/>
    <w:rPr>
      <w:rFonts w:ascii="OpenSymbol" w:hAnsi="OpenSymbol" w:eastAsia="OpenSymbol" w:cs="OpenSymbol"/>
    </w:rPr>
  </w:style>
  <w:style w:type="character" w:styleId="WWCharLFO6LVL7">
    <w:name w:val="WW_CharLFO6LVL7"/>
    <w:qFormat/>
    <w:rPr>
      <w:rFonts w:ascii="OpenSymbol" w:hAnsi="OpenSymbol" w:eastAsia="OpenSymbol" w:cs="OpenSymbol"/>
    </w:rPr>
  </w:style>
  <w:style w:type="character" w:styleId="WWCharLFO6LVL6">
    <w:name w:val="WW_CharLFO6LVL6"/>
    <w:qFormat/>
    <w:rPr>
      <w:rFonts w:ascii="OpenSymbol" w:hAnsi="OpenSymbol" w:eastAsia="OpenSymbol" w:cs="OpenSymbol"/>
    </w:rPr>
  </w:style>
  <w:style w:type="character" w:styleId="WWCharLFO6LVL5">
    <w:name w:val="WW_CharLFO6LVL5"/>
    <w:qFormat/>
    <w:rPr>
      <w:rFonts w:ascii="OpenSymbol" w:hAnsi="OpenSymbol" w:eastAsia="OpenSymbol" w:cs="OpenSymbol"/>
    </w:rPr>
  </w:style>
  <w:style w:type="character" w:styleId="WWCharLFO6LVL4">
    <w:name w:val="WW_CharLFO6LVL4"/>
    <w:qFormat/>
    <w:rPr>
      <w:rFonts w:ascii="OpenSymbol" w:hAnsi="OpenSymbol" w:eastAsia="OpenSymbol" w:cs="OpenSymbol"/>
    </w:rPr>
  </w:style>
  <w:style w:type="character" w:styleId="WWCharLFO6LVL3">
    <w:name w:val="WW_CharLFO6LVL3"/>
    <w:qFormat/>
    <w:rPr>
      <w:rFonts w:ascii="OpenSymbol" w:hAnsi="OpenSymbol" w:eastAsia="OpenSymbol" w:cs="OpenSymbol"/>
    </w:rPr>
  </w:style>
  <w:style w:type="character" w:styleId="WWCharLFO6LVL2">
    <w:name w:val="WW_CharLFO6LVL2"/>
    <w:qFormat/>
    <w:rPr>
      <w:rFonts w:ascii="OpenSymbol" w:hAnsi="OpenSymbol" w:eastAsia="OpenSymbol" w:cs="OpenSymbol"/>
    </w:rPr>
  </w:style>
  <w:style w:type="character" w:styleId="WWCharLFO6LVL1">
    <w:name w:val="WW_CharLFO6LVL1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3LVL9">
    <w:name w:val="WW_CharLFO3LVL9"/>
    <w:qFormat/>
    <w:rPr>
      <w:rFonts w:ascii="Calibri" w:hAnsi="Calibri" w:cs="OpenSymbol"/>
    </w:rPr>
  </w:style>
  <w:style w:type="character" w:styleId="WWCharLFO3LVL8">
    <w:name w:val="WW_CharLFO3LVL8"/>
    <w:qFormat/>
    <w:rPr>
      <w:rFonts w:ascii="Calibri" w:hAnsi="Calibri" w:cs="OpenSymbol"/>
    </w:rPr>
  </w:style>
  <w:style w:type="character" w:styleId="WWCharLFO3LVL7">
    <w:name w:val="WW_CharLFO3LVL7"/>
    <w:qFormat/>
    <w:rPr>
      <w:rFonts w:ascii="Calibri" w:hAnsi="Calibri" w:cs="Symbol"/>
    </w:rPr>
  </w:style>
  <w:style w:type="character" w:styleId="WWCharLFO3LVL6">
    <w:name w:val="WW_CharLFO3LVL6"/>
    <w:qFormat/>
    <w:rPr>
      <w:rFonts w:ascii="Calibri" w:hAnsi="Calibri" w:cs="OpenSymbol"/>
    </w:rPr>
  </w:style>
  <w:style w:type="character" w:styleId="WWCharLFO3LVL5">
    <w:name w:val="WW_CharLFO3LVL5"/>
    <w:qFormat/>
    <w:rPr>
      <w:rFonts w:ascii="Calibri" w:hAnsi="Calibri" w:cs="OpenSymbol"/>
    </w:rPr>
  </w:style>
  <w:style w:type="character" w:styleId="WWCharLFO3LVL4">
    <w:name w:val="WW_CharLFO3LVL4"/>
    <w:qFormat/>
    <w:rPr>
      <w:rFonts w:ascii="Calibri" w:hAnsi="Calibri" w:cs="Symbol"/>
    </w:rPr>
  </w:style>
  <w:style w:type="character" w:styleId="WWCharLFO3LVL3">
    <w:name w:val="WW_CharLFO3LVL3"/>
    <w:qFormat/>
    <w:rPr>
      <w:rFonts w:ascii="Calibri" w:hAnsi="Calibri" w:cs="OpenSymbol"/>
    </w:rPr>
  </w:style>
  <w:style w:type="character" w:styleId="WWCharLFO3LVL2">
    <w:name w:val="WW_CharLFO3LVL2"/>
    <w:qFormat/>
    <w:rPr>
      <w:rFonts w:ascii="Calibri" w:hAnsi="Calibri" w:cs="OpenSymbol"/>
    </w:rPr>
  </w:style>
  <w:style w:type="character" w:styleId="WWCharLFO3LVL1">
    <w:name w:val="WW_CharLFO3LVL1"/>
    <w:qFormat/>
    <w:rPr>
      <w:rFonts w:ascii="Calibri" w:hAnsi="Calibri" w:cs="Symbol"/>
    </w:rPr>
  </w:style>
  <w:style w:type="character" w:styleId="WWCharLFO2LVL9">
    <w:name w:val="WW_CharLFO2LVL9"/>
    <w:qFormat/>
    <w:rPr>
      <w:rFonts w:ascii="Calibri" w:hAnsi="Calibri" w:cs="Symbol"/>
    </w:rPr>
  </w:style>
  <w:style w:type="character" w:styleId="WWCharLFO2LVL8">
    <w:name w:val="WW_CharLFO2LVL8"/>
    <w:qFormat/>
    <w:rPr>
      <w:rFonts w:ascii="Calibri" w:hAnsi="Calibri" w:cs="Symbol"/>
    </w:rPr>
  </w:style>
  <w:style w:type="character" w:styleId="WWCharLFO2LVL7">
    <w:name w:val="WW_CharLFO2LVL7"/>
    <w:qFormat/>
    <w:rPr>
      <w:rFonts w:ascii="Calibri" w:hAnsi="Calibri" w:cs="Symbol"/>
    </w:rPr>
  </w:style>
  <w:style w:type="character" w:styleId="WWCharLFO2LVL6">
    <w:name w:val="WW_CharLFO2LVL6"/>
    <w:qFormat/>
    <w:rPr>
      <w:rFonts w:ascii="Calibri" w:hAnsi="Calibri" w:cs="Symbol"/>
    </w:rPr>
  </w:style>
  <w:style w:type="character" w:styleId="WWCharLFO2LVL5">
    <w:name w:val="WW_CharLFO2LVL5"/>
    <w:qFormat/>
    <w:rPr>
      <w:rFonts w:ascii="Calibri" w:hAnsi="Calibri" w:cs="Symbol"/>
    </w:rPr>
  </w:style>
  <w:style w:type="character" w:styleId="WWCharLFO2LVL4">
    <w:name w:val="WW_CharLFO2LVL4"/>
    <w:qFormat/>
    <w:rPr>
      <w:rFonts w:ascii="Calibri" w:hAnsi="Calibri" w:cs="Symbol"/>
    </w:rPr>
  </w:style>
  <w:style w:type="character" w:styleId="WWCharLFO2LVL3">
    <w:name w:val="WW_CharLFO2LVL3"/>
    <w:qFormat/>
    <w:rPr>
      <w:rFonts w:ascii="Calibri" w:hAnsi="Calibri" w:cs="Symbol"/>
    </w:rPr>
  </w:style>
  <w:style w:type="character" w:styleId="WWCharLFO2LVL2">
    <w:name w:val="WW_CharLFO2LVL2"/>
    <w:qFormat/>
    <w:rPr>
      <w:rFonts w:ascii="Calibri" w:hAnsi="Calibri" w:cs="Symbol"/>
    </w:rPr>
  </w:style>
  <w:style w:type="character" w:styleId="WWCharLFO2LVL1">
    <w:name w:val="WW_CharLFO2LVL1"/>
    <w:qFormat/>
    <w:rPr>
      <w:rFonts w:ascii="Calibri" w:hAnsi="Calibri" w:cs="Symbol"/>
    </w:rPr>
  </w:style>
  <w:style w:type="character" w:styleId="Lletraperdefectedelpargraf">
    <w:name w:val="Lletra per defecte del paràgraf"/>
    <w:qFormat/>
    <w:rPr/>
  </w:style>
  <w:style w:type="character" w:styleId="Ttol1Car">
    <w:name w:val="Títol 1 Car"/>
    <w:basedOn w:val="Fuentedeprrafopredeter"/>
    <w:qFormat/>
    <w:rPr>
      <w:rFonts w:ascii="Calibri Light" w:hAnsi="Calibri Light" w:eastAsia="DejaVu Sans" w:cs="Noto Sans Devanagari"/>
      <w:color w:val="2F5496"/>
      <w:sz w:val="40"/>
      <w:szCs w:val="40"/>
    </w:rPr>
  </w:style>
  <w:style w:type="character" w:styleId="Ttol2Car">
    <w:name w:val="Títol 2 Car"/>
    <w:basedOn w:val="Fuentedeprrafopredeter"/>
    <w:qFormat/>
    <w:rPr>
      <w:rFonts w:ascii="Calibri Light" w:hAnsi="Calibri Light" w:eastAsia="DejaVu Sans" w:cs="Noto Sans Devanagari"/>
      <w:color w:val="2F5496"/>
      <w:sz w:val="32"/>
      <w:szCs w:val="32"/>
    </w:rPr>
  </w:style>
  <w:style w:type="character" w:styleId="Ttol3Car">
    <w:name w:val="Títol 3 Car"/>
    <w:basedOn w:val="Fuentedeprrafopredeter"/>
    <w:qFormat/>
    <w:rPr>
      <w:rFonts w:eastAsia="DejaVu Sans" w:cs="Noto Sans Devanagari"/>
      <w:color w:val="2F5496"/>
      <w:sz w:val="28"/>
      <w:szCs w:val="28"/>
    </w:rPr>
  </w:style>
  <w:style w:type="character" w:styleId="Ttol4Car">
    <w:name w:val="Títol 4 Car"/>
    <w:basedOn w:val="Fuentedeprrafopredeter"/>
    <w:qFormat/>
    <w:rPr>
      <w:rFonts w:eastAsia="DejaVu Sans" w:cs="Noto Sans Devanagari"/>
      <w:i/>
      <w:iCs/>
      <w:color w:val="2F5496"/>
    </w:rPr>
  </w:style>
  <w:style w:type="character" w:styleId="Ttol5Car">
    <w:name w:val="Títol 5 Car"/>
    <w:basedOn w:val="Fuentedeprrafopredeter"/>
    <w:qFormat/>
    <w:rPr>
      <w:rFonts w:eastAsia="DejaVu Sans" w:cs="Noto Sans Devanagari"/>
      <w:color w:val="2F5496"/>
    </w:rPr>
  </w:style>
  <w:style w:type="character" w:styleId="Ttol6Car">
    <w:name w:val="Títol 6 Car"/>
    <w:basedOn w:val="Fuentedeprrafopredeter"/>
    <w:qFormat/>
    <w:rPr>
      <w:rFonts w:eastAsia="DejaVu Sans" w:cs="Noto Sans Devanagari"/>
      <w:i/>
      <w:iCs/>
      <w:color w:val="595959"/>
    </w:rPr>
  </w:style>
  <w:style w:type="character" w:styleId="Ttol7Car">
    <w:name w:val="Títol 7 Car"/>
    <w:basedOn w:val="Fuentedeprrafopredeter"/>
    <w:qFormat/>
    <w:rPr>
      <w:rFonts w:eastAsia="DejaVu Sans" w:cs="Noto Sans Devanagari"/>
      <w:color w:val="595959"/>
    </w:rPr>
  </w:style>
  <w:style w:type="character" w:styleId="Ttol8Car">
    <w:name w:val="Títol 8 Car"/>
    <w:basedOn w:val="Fuentedeprrafopredeter"/>
    <w:qFormat/>
    <w:rPr>
      <w:rFonts w:eastAsia="DejaVu Sans" w:cs="Noto Sans Devanagari"/>
      <w:i/>
      <w:iCs/>
      <w:color w:val="272727"/>
    </w:rPr>
  </w:style>
  <w:style w:type="character" w:styleId="Ttol9Car">
    <w:name w:val="Títol 9 Car"/>
    <w:basedOn w:val="Fuentedeprrafopredeter"/>
    <w:qFormat/>
    <w:rPr>
      <w:rFonts w:eastAsia="DejaVu Sans" w:cs="Noto Sans Devanagari"/>
      <w:color w:val="272727"/>
    </w:rPr>
  </w:style>
  <w:style w:type="character" w:styleId="TtolCar">
    <w:name w:val="Títol Car"/>
    <w:basedOn w:val="Fuentedeprrafopredeter"/>
    <w:qFormat/>
    <w:rPr>
      <w:rFonts w:ascii="Calibri Light" w:hAnsi="Calibri Light" w:eastAsia="DejaVu Sans" w:cs="Noto Sans Devanagari"/>
      <w:spacing w:val="-10"/>
      <w:kern w:val="2"/>
      <w:sz w:val="56"/>
      <w:szCs w:val="56"/>
    </w:rPr>
  </w:style>
  <w:style w:type="character" w:styleId="SubttolCar">
    <w:name w:val="Subtítol Car"/>
    <w:basedOn w:val="Fuentedeprrafopredeter"/>
    <w:qFormat/>
    <w:rPr>
      <w:rFonts w:eastAsia="DejaVu Sans" w:cs="Noto Sans Devanagari"/>
      <w:color w:val="595959"/>
      <w:spacing w:val="15"/>
      <w:sz w:val="28"/>
      <w:szCs w:val="28"/>
    </w:rPr>
  </w:style>
  <w:style w:type="character" w:styleId="CitaCar">
    <w:name w:val="Cita Car"/>
    <w:basedOn w:val="Fuentedeprrafopredeter"/>
    <w:qFormat/>
    <w:rPr>
      <w:i/>
      <w:iCs/>
      <w:color w:val="404040"/>
    </w:rPr>
  </w:style>
  <w:style w:type="character" w:styleId="nfasisintenso">
    <w:name w:val="Énfasis intenso"/>
    <w:basedOn w:val="Fuentedeprrafopredeter"/>
    <w:qFormat/>
    <w:rPr>
      <w:i/>
      <w:iCs/>
      <w:color w:val="2F5496"/>
    </w:rPr>
  </w:style>
  <w:style w:type="character" w:styleId="CitaintensaCar">
    <w:name w:val="Cita intensa Car"/>
    <w:basedOn w:val="Fuentedeprrafopredeter"/>
    <w:qFormat/>
    <w:rPr>
      <w:i/>
      <w:iCs/>
      <w:color w:val="2F5496"/>
    </w:rPr>
  </w:style>
  <w:style w:type="character" w:styleId="Referenciaintensa">
    <w:name w:val="Referencia intensa"/>
    <w:basedOn w:val="Fuentedeprrafopredeter"/>
    <w:qFormat/>
    <w:rPr>
      <w:b/>
      <w:bCs/>
      <w:smallCaps/>
      <w:color w:val="2F5496"/>
      <w:spacing w:val="5"/>
    </w:rPr>
  </w:style>
  <w:style w:type="character" w:styleId="Smbolosdenumeracin">
    <w:name w:val="Símbolos de numeración"/>
    <w:qFormat/>
    <w:rPr/>
  </w:style>
  <w:style w:type="character" w:styleId="Strong">
    <w:name w:val="Strong"/>
    <w:qFormat/>
    <w:rPr>
      <w:b/>
      <w:bCs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</w:rPr>
  </w:style>
  <w:style w:type="character" w:styleId="Caracteresdenotafinal">
    <w:name w:val="Caracteres de nota final"/>
    <w:qFormat/>
    <w:rPr/>
  </w:style>
  <w:style w:type="character" w:styleId="Caracteresdenotaalpie">
    <w:name w:val="Caracteres de nota al pie"/>
    <w:qFormat/>
    <w:rPr/>
  </w:style>
  <w:style w:type="character" w:styleId="Hyperlink">
    <w:name w:val="Hyperlink"/>
    <w:rPr>
      <w:color w:val="000080"/>
      <w:u w:val="single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qFormat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qFormat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Noto Sans"/>
    </w:rPr>
  </w:style>
  <w:style w:type="paragraph" w:styleId="Cosdetext">
    <w:name w:val="Cos de text"/>
    <w:basedOn w:val="Normal"/>
    <w:qFormat/>
    <w:pPr>
      <w:suppressAutoHyphens w:val="true"/>
      <w:spacing w:lineRule="auto" w:line="276" w:before="0" w:after="140"/>
    </w:pPr>
    <w:rPr/>
  </w:style>
  <w:style w:type="paragraph" w:styleId="Puesto">
    <w:name w:val="Puesto"/>
    <w:basedOn w:val="Normal"/>
    <w:next w:val="Normal"/>
    <w:qFormat/>
    <w:pPr>
      <w:suppressAutoHyphens w:val="true"/>
      <w:spacing w:before="0" w:after="80"/>
    </w:pPr>
    <w:rPr>
      <w:rFonts w:ascii="Calibri Light" w:hAnsi="Calibri Light"/>
      <w:spacing w:val="-10"/>
      <w:sz w:val="56"/>
      <w:szCs w:val="56"/>
    </w:rPr>
  </w:style>
  <w:style w:type="paragraph" w:styleId="Subtitle">
    <w:name w:val="Subtitle"/>
    <w:basedOn w:val="Normal"/>
    <w:next w:val="Normal"/>
    <w:qFormat/>
    <w:pPr>
      <w:suppressAutoHyphens w:val="true"/>
    </w:pPr>
    <w:rPr>
      <w:color w:val="595959"/>
      <w:spacing w:val="15"/>
      <w:sz w:val="28"/>
      <w:szCs w:val="28"/>
    </w:rPr>
  </w:style>
  <w:style w:type="paragraph" w:styleId="Cita">
    <w:name w:val="Cita"/>
    <w:basedOn w:val="Normal"/>
    <w:next w:val="Normal"/>
    <w:qFormat/>
    <w:pPr>
      <w:suppressAutoHyphens w:val="true"/>
      <w:spacing w:before="160" w:after="160"/>
      <w:jc w:val="center"/>
    </w:pPr>
    <w:rPr>
      <w:i/>
      <w:iCs/>
      <w:color w:val="404040"/>
    </w:rPr>
  </w:style>
  <w:style w:type="paragraph" w:styleId="Prrafodelista">
    <w:name w:val="Párrafo de lista"/>
    <w:basedOn w:val="Normal"/>
    <w:qFormat/>
    <w:pPr>
      <w:tabs>
        <w:tab w:val="clear" w:pos="709"/>
      </w:tabs>
      <w:suppressAutoHyphens w:val="true"/>
      <w:spacing w:before="0" w:after="160"/>
      <w:ind w:start="720"/>
    </w:pPr>
    <w:rPr/>
  </w:style>
  <w:style w:type="paragraph" w:styleId="Citadestacada">
    <w:name w:val="Cita destacada"/>
    <w:basedOn w:val="Normal"/>
    <w:next w:val="Normal"/>
    <w:qFormat/>
    <w:pPr>
      <w:pBdr>
        <w:top w:val="single" w:sz="4" w:space="10" w:color="2F5496"/>
        <w:bottom w:val="single" w:sz="4" w:space="10" w:color="2F5496"/>
      </w:pBdr>
      <w:tabs>
        <w:tab w:val="clear" w:pos="709"/>
      </w:tabs>
      <w:suppressAutoHyphens w:val="true"/>
      <w:spacing w:before="360" w:after="360"/>
      <w:ind w:start="864" w:end="864"/>
      <w:jc w:val="center"/>
    </w:pPr>
    <w:rPr>
      <w:i/>
      <w:iCs/>
      <w:color w:val="2F5496"/>
    </w:rPr>
  </w:style>
  <w:style w:type="paragraph" w:styleId="Contenidodelista">
    <w:name w:val="Contenido de lista"/>
    <w:basedOn w:val="Normal"/>
    <w:qFormat/>
    <w:pPr>
      <w:tabs>
        <w:tab w:val="clear" w:pos="709"/>
      </w:tabs>
      <w:suppressAutoHyphens w:val="true"/>
      <w:ind w:start="567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start"/>
    </w:pPr>
    <w:rPr>
      <w:rFonts w:ascii="Carlito" w:hAnsi="Carlito" w:eastAsia="Noto Serif SC" w:cs="Noto Sans"/>
      <w:color w:val="auto"/>
      <w:kern w:val="2"/>
      <w:sz w:val="24"/>
      <w:szCs w:val="24"/>
      <w:lang w:val="es-ES" w:eastAsia="zh-CN" w:bidi="hi-IN"/>
    </w:rPr>
  </w:style>
  <w:style w:type="paragraph" w:styleId="Contenidodelistauser">
    <w:name w:val="Contenido de lista (user)"/>
    <w:basedOn w:val="Normal"/>
    <w:qFormat/>
    <w:pPr>
      <w:tabs>
        <w:tab w:val="clear" w:pos="709"/>
      </w:tabs>
      <w:suppressAutoHyphens w:val="true"/>
      <w:ind w:start="567"/>
    </w:pPr>
    <w:rPr/>
  </w:style>
  <w:style w:type="paragraph" w:styleId="Normal2">
    <w:name w:val="Normal2"/>
    <w:qFormat/>
    <w:pPr>
      <w:widowControl/>
      <w:suppressAutoHyphens w:val="true"/>
      <w:bidi w:val="0"/>
      <w:spacing w:before="0" w:after="0"/>
      <w:jc w:val="start"/>
    </w:pPr>
    <w:rPr>
      <w:rFonts w:ascii="Carlito" w:hAnsi="Carlito" w:eastAsia="Noto Serif SC" w:cs="Noto Sans"/>
      <w:color w:val="auto"/>
      <w:kern w:val="2"/>
      <w:sz w:val="24"/>
      <w:szCs w:val="24"/>
      <w:lang w:val="es-E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Collabora_Office/25.04.2.2$Linux_X86_64 LibreOffice_project/b678ed74695d64e638db9eb734e86703ad84516d</Application>
  <AppVersion>15.0000</AppVersion>
  <Pages>2</Pages>
  <Words>361</Words>
  <Characters>2192</Characters>
  <CharactersWithSpaces>2665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2025-07-08T09:55:54Z</dcterms:created>
  <dc:creator/>
  <dc:description/>
  <dc:language>es-ES</dc:language>
  <cp:lastModifiedBy/>
  <dcterms:modified xsi:type="dcterms:W3CDTF">2025-07-08T15:20:36Z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