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ESTRATEGIA PER PRESIDENCIA ESPAÑOLA CONSEJO DE LA UE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Objetivos Presidencia: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 incluye la aprobación de la Directiva entre las prioridades de la agenda de la Presidencia española de la UE.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 aprueba una directiva ambiciosa y eficaz durante el mandato español recogiendo las peticiones principales de la Coalición europea y de la 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Posicionamiento PER Presidencia Española: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el documento que recoge las peticiones y prioridades de la PER de cara a la Presidencia Española.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texto se usará como base para que las organizaciones puedan incorporarlo a sus documentos de peticiones al gobierno, en las comunicaciones de la PER con el mismo y como base de un posible statement de la sociedad civil europea.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Acciones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Para poder realizar las acciones propuestas necesitamos involucración de las organizaciones. Una organización responsable de cada acción.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</w:rPr>
        <w:drawing>
          <wp:inline distB="114300" distT="114300" distL="114300" distR="114300">
            <wp:extent cx="5731200" cy="2832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3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 realizarán distintas acciones con el objetivo final de realizar un evento conjunto con el Ministerio de Economía (TBC) antes de la Presidencia Española a finales de Mayo (TBD).</w:t>
      </w:r>
    </w:p>
    <w:p w:rsidR="00000000" w:rsidDel="00000000" w:rsidP="00000000" w:rsidRDefault="00000000" w:rsidRPr="00000000" w14:paraId="00000010">
      <w:pPr>
        <w:widowControl w:val="0"/>
        <w:ind w:left="425.19685039370086" w:firstLine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</w:rPr>
        <w:drawing>
          <wp:inline distB="114300" distT="114300" distL="114300" distR="114300">
            <wp:extent cx="5424488" cy="147598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4488" cy="1475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Peticiones y recomendaciones de la PER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dar a conocer al gobierno y actores clave del PSOE  las peticiones de la PER.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 envío de la petición a los ministerios relevantes para la directiva y actores claves del PSOE (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mapa poder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TBD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 semana 6 y 13 de Marzo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posicionamiento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completo,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versiones cortas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para comunicaciones</w:t>
      </w:r>
    </w:p>
    <w:p w:rsidR="00000000" w:rsidDel="00000000" w:rsidP="00000000" w:rsidRDefault="00000000" w:rsidRPr="00000000" w14:paraId="0000001A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Publicación Business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i) influir voto de JURI mostrando apoyo empresarial ii) comunicar ministerios españoles relevantes (economía) apoyo empresarial a las peticiones de la PER 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 envío del statement a los eurodiputados españoles y ministerios relevantes para la directiva (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mapa poder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publicar en la pág web de la PER y en RRSS el statement.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 semana 20 Marzo (TBC)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statement y mail de invitación a empresas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Resultados encuesta sobre clima y debida diligencia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i) influir voto JURI mostrando apoyo ciudadano y consiguiendo presencia en medios ii) presión al gobierno sobre la importancia de la directiva durante su presidencia y apoyo sociedad española a posturas más avanzadas a las mantenidas por España en el Consejo.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 envío de los resultados al ministerio de transición ecológica y otros ministerios clave.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propuesta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JIB, adaptar al contexto español (por ejemplo medios locales, divulgadores Twitter, HOPE!).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 13 Marzo y 17 Abril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resultados encuesta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Justice is Everybody's Business Action Days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i) influir votación plenario ii) asegurar votos PSOE, Podemos y Renew en el parlamento europeo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 reuniones con europarlamentarios clave (Idoia Villanueva, Miguel Urbán, Ibán García del Blanco, Soraya Rodríguez</w:t>
      </w:r>
      <w:r w:rsidDel="00000000" w:rsidR="00000000" w:rsidRPr="00000000">
        <w:rPr>
          <w:rFonts w:ascii="Calibri" w:cs="Calibri" w:eastAsia="Calibri" w:hAnsi="Calibri"/>
          <w:color w:val="00796b"/>
          <w:rtl w:val="0"/>
        </w:rPr>
        <w:t xml:space="preserve">, Jordi Cañas…). Preparar listado completo (WIP)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acciones JIEB, adaptar al contexto español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 22 Abril-1 </w:t>
      </w:r>
      <w:commentRangeStart w:id="0"/>
      <w:r w:rsidDel="00000000" w:rsidR="00000000" w:rsidRPr="00000000">
        <w:rPr>
          <w:rFonts w:ascii="Calibri" w:cs="Calibri" w:eastAsia="Calibri" w:hAnsi="Calibri"/>
          <w:rtl w:val="0"/>
        </w:rPr>
        <w:t xml:space="preserve">Mayo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mirar doc JIEB</w:t>
      </w:r>
    </w:p>
    <w:p w:rsidR="00000000" w:rsidDel="00000000" w:rsidP="00000000" w:rsidRDefault="00000000" w:rsidRPr="00000000" w14:paraId="0000002F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EU SCO Statement/Carta RBC group/Narrativa </w:t>
      </w:r>
      <w:commentRangeStart w:id="1"/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gobierno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i) presión al gobierno sobre la importancia de la directiva durante su presidencia a través de la sociedad civil europea y eurodiputados del Responsible Business Conduct Group ii) asegurar presencia en medios a alto nivel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 envío de la carta de los eurodiputados y SCO a actores clave del gobierno y PSOE (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mapa poder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trabajar la narrativa con ayuda de la campaña JIEB, financiación por parte de distintas organizaciones y la </w:t>
      </w:r>
      <w:commentRangeStart w:id="2"/>
      <w:r w:rsidDel="00000000" w:rsidR="00000000" w:rsidRPr="00000000">
        <w:rPr>
          <w:rFonts w:ascii="Calibri" w:cs="Calibri" w:eastAsia="Calibri" w:hAnsi="Calibri"/>
          <w:rtl w:val="0"/>
        </w:rPr>
        <w:t xml:space="preserve">PER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mitad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carta sociedad civil europea y carta RBC group WIP (ECCJ).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Carta SCO América Latina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i) presión al gobierno sobre la importancia de la directiva durante su presidencia a través de la sociedad civil de América Latina.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 envío de la carta a ministerios relevantes para la directiva y actores del gobierno implicados en la cumbre EU-LAT de Julio en Bruselas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TBD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 principios de Junio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carta SCO LATAM WIP (ECCJ)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jc w:val="both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Evento Conjunto Ministerio de Economía sobre debida diligencia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Objetivo: i) obligar al gobierno a posicionarse frente a la directiva ii) conseguir una postura pública del gobierno más progresiva que lo mantenido en el Consejo iii) presencia en medios a alto nivel.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incidencia:TBD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Acciones comunicación: TBD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Fechas: mitad Junio, después voto plenario pero antes de que empiece la presidencia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Documentos: concept note (ECCJ)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aya Acero" w:id="2" w:date="2023-03-08T11:21:26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Tendríamos unos 8.000€ para la campaña (900€ remanentes campaña española y resto aportado por Global Witness y ECCJ).</w:t>
      </w:r>
    </w:p>
  </w:comment>
  <w:comment w:author="Amaya Acero" w:id="0" w:date="2023-03-08T11:07:43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con Campaña Ropa Limpia acciones presvistas 10 aniversario Rana Plaza</w:t>
      </w:r>
    </w:p>
  </w:comment>
  <w:comment w:author="Amaya Acero" w:id="1" w:date="2023-03-09T10:58:05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diputado francés Dominique Poitier, lanzó la ley de vigilancia en Francia, contacto a través de Adoración Guamán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mRnhvgtvjioip6Ej1KPwqS0KbKHr4RG1/view?usp=sharing" TargetMode="External"/><Relationship Id="rId10" Type="http://schemas.openxmlformats.org/officeDocument/2006/relationships/hyperlink" Target="https://docs.google.com/spreadsheets/d/1c8nOS0TyHsRhJKgq89faWOGHjMsLXWqKl0eVadBCPN0/edit?usp=sharing" TargetMode="External"/><Relationship Id="rId13" Type="http://schemas.openxmlformats.org/officeDocument/2006/relationships/hyperlink" Target="https://docs.google.com/spreadsheets/d/1c8nOS0TyHsRhJKgq89faWOGHjMsLXWqKl0eVadBCPN0/edit?usp=sharing" TargetMode="External"/><Relationship Id="rId12" Type="http://schemas.openxmlformats.org/officeDocument/2006/relationships/hyperlink" Target="https://docs.google.com/document/d/16SYO7N2CcnT2Vh2MewXed_sTjHYHd2xEUwhXYR0QdPA/edit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hyperlink" Target="https://docs.google.com/document/d/1jer3C_Z00eiMSPJSPODxXnRHILRXsXxDEmqhXE4hOSI/edit?usp=sharing" TargetMode="External"/><Relationship Id="rId14" Type="http://schemas.openxmlformats.org/officeDocument/2006/relationships/hyperlink" Target="https://drive.google.com/drive/folders/1_0M1UrtffR1CSo7ybSzu3w0hciEjqAbD?usp=sharing" TargetMode="External"/><Relationship Id="rId17" Type="http://schemas.openxmlformats.org/officeDocument/2006/relationships/hyperlink" Target="https://docs.google.com/spreadsheets/d/1c8nOS0TyHsRhJKgq89faWOGHjMsLXWqKl0eVadBCPN0/edit?usp=sharing" TargetMode="External"/><Relationship Id="rId16" Type="http://schemas.openxmlformats.org/officeDocument/2006/relationships/hyperlink" Target="https://docs.google.com/spreadsheets/d/1lxfIhYKpsM__RhYXleozhzcKOWUDpWEf/edit?usp=sharing&amp;ouid=115841752614526516675&amp;rtpof=true&amp;sd=tru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uGL7K1vAUzCgSkKMPw36cOJRI7baJNG7uhQXHYDX8jU/edit?usp=sharing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