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CD16B2" w14:textId="57AEF5FC" w:rsidR="00B05B70" w:rsidRPr="00A51477" w:rsidRDefault="00B05B70" w:rsidP="00B05B70">
      <w:pPr>
        <w:pStyle w:val="NormalWeb"/>
        <w:jc w:val="center"/>
        <w:rPr>
          <w:rFonts w:asciiTheme="minorHAnsi" w:eastAsiaTheme="minorHAnsi" w:hAnsiTheme="minorHAnsi" w:cstheme="minorBidi"/>
          <w:b/>
          <w:color w:val="002060"/>
          <w:sz w:val="22"/>
          <w:szCs w:val="22"/>
          <w:lang w:eastAsia="en-US"/>
        </w:rPr>
      </w:pPr>
      <w:r w:rsidRPr="00A51477">
        <w:rPr>
          <w:rFonts w:asciiTheme="minorHAnsi" w:eastAsiaTheme="minorHAnsi" w:hAnsiTheme="minorHAnsi" w:cstheme="minorBidi"/>
          <w:b/>
          <w:color w:val="002060"/>
          <w:sz w:val="22"/>
          <w:szCs w:val="22"/>
          <w:lang w:eastAsia="en-US"/>
        </w:rPr>
        <w:t xml:space="preserve">Vínculos entre el derrumbe </w:t>
      </w:r>
      <w:r w:rsidR="001C15E9" w:rsidRPr="00A51477">
        <w:rPr>
          <w:rFonts w:asciiTheme="minorHAnsi" w:eastAsiaTheme="minorHAnsi" w:hAnsiTheme="minorHAnsi" w:cstheme="minorBidi"/>
          <w:b/>
          <w:color w:val="002060"/>
          <w:sz w:val="22"/>
          <w:szCs w:val="22"/>
          <w:lang w:eastAsia="en-US"/>
        </w:rPr>
        <w:t>del</w:t>
      </w:r>
      <w:r w:rsidRPr="00A51477">
        <w:rPr>
          <w:rFonts w:asciiTheme="minorHAnsi" w:eastAsiaTheme="minorHAnsi" w:hAnsiTheme="minorHAnsi" w:cstheme="minorBidi"/>
          <w:b/>
          <w:color w:val="002060"/>
          <w:sz w:val="22"/>
          <w:szCs w:val="22"/>
          <w:lang w:eastAsia="en-US"/>
        </w:rPr>
        <w:t xml:space="preserve"> Rana Plaza y la votación en el Pleno de la Directiva sobre la diligencia debida en materia de sostenibilidad empresarial</w:t>
      </w:r>
    </w:p>
    <w:p w14:paraId="1661C18B" w14:textId="5DB813F4" w:rsidR="00B05B70" w:rsidRPr="001E0D1F" w:rsidRDefault="00887E3D">
      <w:pPr>
        <w:jc w:val="center"/>
        <w:rPr>
          <w:b/>
          <w:color w:val="002060"/>
          <w:lang w:val="es-ES"/>
        </w:rPr>
      </w:pPr>
      <w:r w:rsidRPr="001E0D1F">
        <w:rPr>
          <w:b/>
          <w:color w:val="002060"/>
          <w:lang w:val="es-ES"/>
        </w:rPr>
        <w:t>Red Campaña Ropa Limpia</w:t>
      </w:r>
    </w:p>
    <w:p w14:paraId="79E271B2" w14:textId="77777777" w:rsidR="00887E3D" w:rsidRPr="00B05B70" w:rsidRDefault="00887E3D">
      <w:pPr>
        <w:jc w:val="center"/>
        <w:rPr>
          <w:b/>
          <w:lang w:val="es-ES"/>
        </w:rPr>
      </w:pPr>
    </w:p>
    <w:p w14:paraId="2FCB98B3" w14:textId="47EDF1A8" w:rsidR="00B05B70" w:rsidRPr="00887E3D" w:rsidRDefault="00B05B70" w:rsidP="00B05B70">
      <w:pPr>
        <w:pStyle w:val="NormalWeb"/>
        <w:rPr>
          <w:rFonts w:asciiTheme="minorHAnsi" w:eastAsiaTheme="minorHAnsi" w:hAnsiTheme="minorHAnsi" w:cstheme="minorBidi"/>
          <w:b/>
          <w:color w:val="002060"/>
          <w:sz w:val="22"/>
          <w:szCs w:val="22"/>
          <w:lang w:eastAsia="en-US"/>
        </w:rPr>
      </w:pPr>
      <w:r w:rsidRPr="00887E3D">
        <w:rPr>
          <w:rFonts w:asciiTheme="minorHAnsi" w:eastAsiaTheme="minorHAnsi" w:hAnsiTheme="minorHAnsi" w:cstheme="minorBidi"/>
          <w:b/>
          <w:color w:val="002060"/>
          <w:sz w:val="22"/>
          <w:szCs w:val="22"/>
          <w:lang w:eastAsia="en-US"/>
        </w:rPr>
        <w:t xml:space="preserve">¿Qué ocurrió </w:t>
      </w:r>
      <w:r w:rsidR="00887E3D">
        <w:rPr>
          <w:rFonts w:asciiTheme="minorHAnsi" w:eastAsiaTheme="minorHAnsi" w:hAnsiTheme="minorHAnsi" w:cstheme="minorBidi"/>
          <w:b/>
          <w:color w:val="002060"/>
          <w:sz w:val="22"/>
          <w:szCs w:val="22"/>
          <w:lang w:eastAsia="en-US"/>
        </w:rPr>
        <w:t>el 24 de Abril de 2013</w:t>
      </w:r>
      <w:r w:rsidRPr="00887E3D">
        <w:rPr>
          <w:rFonts w:asciiTheme="minorHAnsi" w:eastAsiaTheme="minorHAnsi" w:hAnsiTheme="minorHAnsi" w:cstheme="minorBidi"/>
          <w:b/>
          <w:color w:val="002060"/>
          <w:sz w:val="22"/>
          <w:szCs w:val="22"/>
          <w:lang w:eastAsia="en-US"/>
        </w:rPr>
        <w:t>?</w:t>
      </w:r>
      <w:bookmarkStart w:id="0" w:name="_GoBack"/>
      <w:bookmarkEnd w:id="0"/>
    </w:p>
    <w:p w14:paraId="3E160301" w14:textId="77777777" w:rsidR="00B05B70" w:rsidRPr="00A727F5" w:rsidRDefault="00B05B70" w:rsidP="00B05B70">
      <w:pPr>
        <w:spacing w:after="240" w:line="288" w:lineRule="auto"/>
        <w:rPr>
          <w:color w:val="002060"/>
          <w:sz w:val="20"/>
          <w:szCs w:val="20"/>
          <w:lang w:val="es-ES"/>
        </w:rPr>
      </w:pPr>
      <w:r w:rsidRPr="00A727F5">
        <w:rPr>
          <w:color w:val="002060"/>
          <w:sz w:val="20"/>
          <w:szCs w:val="20"/>
          <w:lang w:val="es-ES"/>
        </w:rPr>
        <w:t xml:space="preserve">Rana Plaza, el edificio comercial de ocho plantas que se derrumbó en </w:t>
      </w:r>
      <w:proofErr w:type="spellStart"/>
      <w:r w:rsidRPr="00A727F5">
        <w:rPr>
          <w:color w:val="002060"/>
          <w:sz w:val="20"/>
          <w:szCs w:val="20"/>
          <w:lang w:val="es-ES"/>
        </w:rPr>
        <w:t>Savar</w:t>
      </w:r>
      <w:proofErr w:type="spellEnd"/>
      <w:r w:rsidRPr="00A727F5">
        <w:rPr>
          <w:color w:val="002060"/>
          <w:sz w:val="20"/>
          <w:szCs w:val="20"/>
          <w:lang w:val="es-ES"/>
        </w:rPr>
        <w:t>, en las afueras de Dhaka, y que albergaba varias tiendas, un banco y cinco fábricas de ropa, se vino abajo el 24 de abril de 2013, matando a 1.138 personas y dejando heridas a miles más.</w:t>
      </w:r>
    </w:p>
    <w:p w14:paraId="2C05E2EF" w14:textId="727B54FF" w:rsidR="00B05B70" w:rsidRPr="00A727F5" w:rsidRDefault="00B05B70" w:rsidP="00B05B70">
      <w:pPr>
        <w:spacing w:after="240" w:line="288" w:lineRule="auto"/>
        <w:rPr>
          <w:color w:val="002060"/>
          <w:sz w:val="20"/>
          <w:szCs w:val="20"/>
          <w:lang w:val="es-ES"/>
        </w:rPr>
      </w:pPr>
      <w:r w:rsidRPr="00A727F5">
        <w:rPr>
          <w:color w:val="002060"/>
          <w:sz w:val="20"/>
          <w:szCs w:val="20"/>
          <w:lang w:val="es-ES"/>
        </w:rPr>
        <w:t xml:space="preserve">El </w:t>
      </w:r>
      <w:r w:rsidR="001C15E9" w:rsidRPr="00A727F5">
        <w:rPr>
          <w:color w:val="002060"/>
          <w:sz w:val="20"/>
          <w:szCs w:val="20"/>
          <w:lang w:val="es-ES"/>
        </w:rPr>
        <w:t xml:space="preserve">día anterior </w:t>
      </w:r>
      <w:r w:rsidRPr="00A727F5">
        <w:rPr>
          <w:color w:val="002060"/>
          <w:sz w:val="20"/>
          <w:szCs w:val="20"/>
          <w:lang w:val="es-ES"/>
        </w:rPr>
        <w:t>se descubrieron grandes grietas estructurales en el edificio. Las tiendas y el banco de los pisos inferiores cerraron inmediatamente. Pero los propietarios de las fábricas de confección de los pisos superiores hicieron caso omiso de las advertencias de no utilizar el edificio tras la aparición de las grietas.</w:t>
      </w:r>
    </w:p>
    <w:p w14:paraId="07F9BB83" w14:textId="5111251B" w:rsidR="00B05B70" w:rsidRPr="00A727F5" w:rsidRDefault="001C15E9">
      <w:pPr>
        <w:spacing w:before="240" w:after="240" w:line="288" w:lineRule="auto"/>
        <w:rPr>
          <w:color w:val="002060"/>
          <w:sz w:val="20"/>
          <w:szCs w:val="20"/>
          <w:lang w:val="es-ES"/>
        </w:rPr>
      </w:pPr>
      <w:r w:rsidRPr="00A727F5">
        <w:rPr>
          <w:color w:val="002060"/>
          <w:sz w:val="20"/>
          <w:szCs w:val="20"/>
          <w:lang w:val="es-ES"/>
        </w:rPr>
        <w:t>Se ordenó a las trabajadora</w:t>
      </w:r>
      <w:r w:rsidR="00B05B70" w:rsidRPr="00A727F5">
        <w:rPr>
          <w:color w:val="002060"/>
          <w:sz w:val="20"/>
          <w:szCs w:val="20"/>
          <w:lang w:val="es-ES"/>
        </w:rPr>
        <w:t xml:space="preserve">s de la confección que volvieran al trabajo al día siguiente. </w:t>
      </w:r>
      <w:r w:rsidRPr="00A727F5">
        <w:rPr>
          <w:color w:val="002060"/>
          <w:sz w:val="20"/>
          <w:szCs w:val="20"/>
          <w:lang w:val="es-ES"/>
        </w:rPr>
        <w:t>E</w:t>
      </w:r>
      <w:r w:rsidR="00B05B70" w:rsidRPr="00A727F5">
        <w:rPr>
          <w:color w:val="002060"/>
          <w:sz w:val="20"/>
          <w:szCs w:val="20"/>
          <w:lang w:val="es-ES"/>
        </w:rPr>
        <w:t xml:space="preserve">l miércoles 24 de abril miles de </w:t>
      </w:r>
      <w:r w:rsidRPr="00A727F5">
        <w:rPr>
          <w:color w:val="002060"/>
          <w:sz w:val="20"/>
          <w:szCs w:val="20"/>
          <w:lang w:val="es-ES"/>
        </w:rPr>
        <w:t>personas</w:t>
      </w:r>
      <w:r w:rsidR="00B05B70" w:rsidRPr="00A727F5">
        <w:rPr>
          <w:color w:val="002060"/>
          <w:sz w:val="20"/>
          <w:szCs w:val="20"/>
          <w:lang w:val="es-ES"/>
        </w:rPr>
        <w:t xml:space="preserve"> volvieron a sus </w:t>
      </w:r>
      <w:r w:rsidRPr="00A727F5">
        <w:rPr>
          <w:color w:val="002060"/>
          <w:sz w:val="20"/>
          <w:szCs w:val="20"/>
          <w:lang w:val="es-ES"/>
        </w:rPr>
        <w:t xml:space="preserve">puestos en las </w:t>
      </w:r>
      <w:r w:rsidR="00B05B70" w:rsidRPr="00A727F5">
        <w:rPr>
          <w:color w:val="002060"/>
          <w:sz w:val="20"/>
          <w:szCs w:val="20"/>
          <w:lang w:val="es-ES"/>
        </w:rPr>
        <w:t xml:space="preserve">fábricas de confección situadas en el agrietado edificio Rana Plaza. Sólo unas horas después </w:t>
      </w:r>
      <w:r w:rsidR="00A727F5" w:rsidRPr="00A727F5">
        <w:rPr>
          <w:color w:val="002060"/>
          <w:sz w:val="20"/>
          <w:szCs w:val="20"/>
          <w:lang w:val="es-ES"/>
        </w:rPr>
        <w:t xml:space="preserve">el edificio se desplomó. </w:t>
      </w:r>
    </w:p>
    <w:p w14:paraId="41DA9757" w14:textId="5AA66C0C" w:rsidR="00B05B70" w:rsidRPr="00A727F5" w:rsidRDefault="00887E3D">
      <w:pPr>
        <w:spacing w:before="240" w:after="240" w:line="288" w:lineRule="auto"/>
        <w:rPr>
          <w:color w:val="002060"/>
          <w:sz w:val="20"/>
          <w:szCs w:val="20"/>
          <w:lang w:val="es-ES"/>
        </w:rPr>
      </w:pPr>
      <w:r w:rsidRPr="00A727F5">
        <w:rPr>
          <w:color w:val="002060"/>
          <w:sz w:val="20"/>
          <w:szCs w:val="20"/>
          <w:lang w:val="es-ES"/>
        </w:rPr>
        <w:t xml:space="preserve">Las </w:t>
      </w:r>
      <w:r w:rsidR="00A727F5" w:rsidRPr="00A727F5">
        <w:rPr>
          <w:color w:val="002060"/>
          <w:sz w:val="20"/>
          <w:szCs w:val="20"/>
          <w:lang w:val="es-ES"/>
        </w:rPr>
        <w:t xml:space="preserve">personas que trabajaban en las </w:t>
      </w:r>
      <w:r w:rsidR="00B05B70" w:rsidRPr="00A727F5">
        <w:rPr>
          <w:color w:val="002060"/>
          <w:sz w:val="20"/>
          <w:szCs w:val="20"/>
          <w:lang w:val="es-ES"/>
        </w:rPr>
        <w:t xml:space="preserve">fábricas del Rana Plaza </w:t>
      </w:r>
      <w:r w:rsidR="00A727F5" w:rsidRPr="00A727F5">
        <w:rPr>
          <w:color w:val="002060"/>
          <w:sz w:val="20"/>
          <w:szCs w:val="20"/>
          <w:lang w:val="es-ES"/>
        </w:rPr>
        <w:t>no estaban organizad</w:t>
      </w:r>
      <w:r w:rsidR="00A727F5" w:rsidRPr="00A727F5">
        <w:rPr>
          <w:color w:val="002060"/>
          <w:sz w:val="20"/>
          <w:szCs w:val="20"/>
          <w:lang w:val="es-ES"/>
        </w:rPr>
        <w:t>a</w:t>
      </w:r>
      <w:r w:rsidR="00A727F5" w:rsidRPr="00A727F5">
        <w:rPr>
          <w:color w:val="002060"/>
          <w:sz w:val="20"/>
          <w:szCs w:val="20"/>
          <w:lang w:val="es-ES"/>
        </w:rPr>
        <w:t xml:space="preserve">s ni tenían </w:t>
      </w:r>
      <w:r w:rsidR="00A727F5" w:rsidRPr="00A727F5">
        <w:rPr>
          <w:color w:val="002060"/>
          <w:sz w:val="20"/>
          <w:szCs w:val="20"/>
          <w:lang w:val="es-ES"/>
        </w:rPr>
        <w:t>representantes sindicales</w:t>
      </w:r>
      <w:r w:rsidR="00B05B70" w:rsidRPr="00A727F5">
        <w:rPr>
          <w:color w:val="002060"/>
          <w:sz w:val="20"/>
          <w:szCs w:val="20"/>
          <w:lang w:val="es-ES"/>
        </w:rPr>
        <w:t xml:space="preserve">. Cuando tuvieron miedo de volver a entrar en el edificio </w:t>
      </w:r>
      <w:r w:rsidR="00A727F5" w:rsidRPr="00A727F5">
        <w:rPr>
          <w:color w:val="002060"/>
          <w:sz w:val="20"/>
          <w:szCs w:val="20"/>
          <w:lang w:val="es-ES"/>
        </w:rPr>
        <w:t>fueron coaccionadas y amenazadas con que perderían su salario si no entraban</w:t>
      </w:r>
      <w:r w:rsidR="00B05B70" w:rsidRPr="00A727F5">
        <w:rPr>
          <w:color w:val="002060"/>
          <w:sz w:val="20"/>
          <w:szCs w:val="20"/>
          <w:lang w:val="es-ES"/>
        </w:rPr>
        <w:t xml:space="preserve">. Si hubiera habido sindicatos en las </w:t>
      </w:r>
      <w:r w:rsidR="001C15E9" w:rsidRPr="00A727F5">
        <w:rPr>
          <w:color w:val="002060"/>
          <w:sz w:val="20"/>
          <w:szCs w:val="20"/>
          <w:lang w:val="es-ES"/>
        </w:rPr>
        <w:t xml:space="preserve">fábricas, </w:t>
      </w:r>
      <w:r w:rsidR="00B05B70" w:rsidRPr="00A727F5">
        <w:rPr>
          <w:color w:val="002060"/>
          <w:sz w:val="20"/>
          <w:szCs w:val="20"/>
          <w:lang w:val="es-ES"/>
        </w:rPr>
        <w:t xml:space="preserve">hubieran podido expresar colectivamente </w:t>
      </w:r>
      <w:r w:rsidR="00A01BF0" w:rsidRPr="00A727F5">
        <w:rPr>
          <w:color w:val="002060"/>
          <w:sz w:val="20"/>
          <w:szCs w:val="20"/>
          <w:lang w:val="es-ES"/>
        </w:rPr>
        <w:t>sus derechos</w:t>
      </w:r>
      <w:r w:rsidR="00B05B70" w:rsidRPr="00A727F5">
        <w:rPr>
          <w:color w:val="002060"/>
          <w:sz w:val="20"/>
          <w:szCs w:val="20"/>
          <w:lang w:val="es-ES"/>
        </w:rPr>
        <w:t>.</w:t>
      </w:r>
    </w:p>
    <w:p w14:paraId="5EA6FE22" w14:textId="7983433E" w:rsidR="00B05B70" w:rsidRPr="00A727F5" w:rsidRDefault="00A01BF0" w:rsidP="00B05B70">
      <w:pPr>
        <w:pStyle w:val="NormalWeb"/>
        <w:rPr>
          <w:rFonts w:asciiTheme="minorHAnsi" w:eastAsiaTheme="minorHAnsi" w:hAnsiTheme="minorHAnsi" w:cstheme="minorBidi"/>
          <w:b/>
          <w:color w:val="002060"/>
          <w:sz w:val="22"/>
          <w:szCs w:val="22"/>
          <w:lang w:eastAsia="en-US"/>
        </w:rPr>
      </w:pPr>
      <w:r w:rsidRPr="00A727F5">
        <w:rPr>
          <w:rFonts w:asciiTheme="minorHAnsi" w:eastAsiaTheme="minorHAnsi" w:hAnsiTheme="minorHAnsi" w:cstheme="minorBidi"/>
          <w:b/>
          <w:color w:val="002060"/>
          <w:sz w:val="22"/>
          <w:szCs w:val="22"/>
          <w:lang w:eastAsia="en-US"/>
        </w:rPr>
        <w:t>V</w:t>
      </w:r>
      <w:r w:rsidR="00B05B70" w:rsidRPr="00A727F5">
        <w:rPr>
          <w:rFonts w:asciiTheme="minorHAnsi" w:eastAsiaTheme="minorHAnsi" w:hAnsiTheme="minorHAnsi" w:cstheme="minorBidi"/>
          <w:b/>
          <w:color w:val="002060"/>
          <w:sz w:val="22"/>
          <w:szCs w:val="22"/>
          <w:lang w:eastAsia="en-US"/>
        </w:rPr>
        <w:t>ínculos entre la tragedia del Rana Plaza y la votación sobre la Directiva relativa a la diligencia debida en materi</w:t>
      </w:r>
      <w:r w:rsidRPr="00A727F5">
        <w:rPr>
          <w:rFonts w:asciiTheme="minorHAnsi" w:eastAsiaTheme="minorHAnsi" w:hAnsiTheme="minorHAnsi" w:cstheme="minorBidi"/>
          <w:b/>
          <w:color w:val="002060"/>
          <w:sz w:val="22"/>
          <w:szCs w:val="22"/>
          <w:lang w:eastAsia="en-US"/>
        </w:rPr>
        <w:t>a de sostenibilidad empresarial</w:t>
      </w:r>
    </w:p>
    <w:p w14:paraId="3A16BFB8" w14:textId="44F8F0C5" w:rsidR="00B05B70" w:rsidRPr="00A727F5" w:rsidRDefault="00B05B70">
      <w:pPr>
        <w:spacing w:before="240" w:after="240" w:line="288" w:lineRule="auto"/>
        <w:rPr>
          <w:color w:val="002060"/>
          <w:sz w:val="20"/>
          <w:szCs w:val="20"/>
          <w:lang w:val="es-ES"/>
        </w:rPr>
      </w:pPr>
      <w:r w:rsidRPr="00A727F5">
        <w:rPr>
          <w:color w:val="002060"/>
          <w:sz w:val="20"/>
          <w:szCs w:val="20"/>
          <w:lang w:val="es-ES"/>
        </w:rPr>
        <w:t xml:space="preserve">El derrumbe del Rana Plaza abrió los ojos a </w:t>
      </w:r>
      <w:r w:rsidR="00A727F5">
        <w:rPr>
          <w:color w:val="002060"/>
          <w:sz w:val="20"/>
          <w:szCs w:val="20"/>
          <w:lang w:val="es-ES"/>
        </w:rPr>
        <w:t>la ciudadanía</w:t>
      </w:r>
      <w:r w:rsidRPr="00A727F5">
        <w:rPr>
          <w:color w:val="002060"/>
          <w:sz w:val="20"/>
          <w:szCs w:val="20"/>
          <w:lang w:val="es-ES"/>
        </w:rPr>
        <w:t xml:space="preserve"> y responsables políticos de los países consumidores no sólo sobre el papel de las empresas en los abusos de las cadenas de valor mundiales, sino también sobre la necesidad de regular sus actuaciones. Activistas, sindicatos y grupos de defensa de los derechos laborales subrayaron la necesidad de imponer obligaciones vinculantes a las empresas y de aumentar su responsabilidad.</w:t>
      </w:r>
    </w:p>
    <w:p w14:paraId="338976F9" w14:textId="77777777" w:rsidR="00A01BF0" w:rsidRPr="00A727F5" w:rsidRDefault="00B05B70">
      <w:pPr>
        <w:spacing w:before="240" w:after="240" w:line="288" w:lineRule="auto"/>
        <w:rPr>
          <w:color w:val="002060"/>
          <w:sz w:val="20"/>
          <w:szCs w:val="20"/>
          <w:lang w:val="es-ES"/>
        </w:rPr>
      </w:pPr>
      <w:r w:rsidRPr="00A727F5">
        <w:rPr>
          <w:color w:val="002060"/>
          <w:sz w:val="20"/>
          <w:szCs w:val="20"/>
          <w:lang w:val="es-ES"/>
        </w:rPr>
        <w:t>Estos llamamientos tuvieron éxito por primera vez en 2017, cuando se aprobó en Francia la primera ley de di</w:t>
      </w:r>
      <w:r w:rsidR="00A01BF0" w:rsidRPr="00A727F5">
        <w:rPr>
          <w:color w:val="002060"/>
          <w:sz w:val="20"/>
          <w:szCs w:val="20"/>
          <w:lang w:val="es-ES"/>
        </w:rPr>
        <w:t>ligencia debida de la historia</w:t>
      </w:r>
      <w:r w:rsidRPr="00A727F5">
        <w:rPr>
          <w:color w:val="002060"/>
          <w:sz w:val="20"/>
          <w:szCs w:val="20"/>
          <w:lang w:val="es-ES"/>
        </w:rPr>
        <w:t>. Alemania hizo lo propio en 2023. 11 años después del colapso</w:t>
      </w:r>
      <w:r w:rsidR="00A01BF0" w:rsidRPr="00A727F5">
        <w:rPr>
          <w:color w:val="002060"/>
          <w:sz w:val="20"/>
          <w:szCs w:val="20"/>
          <w:lang w:val="es-ES"/>
        </w:rPr>
        <w:t xml:space="preserve">. </w:t>
      </w:r>
    </w:p>
    <w:p w14:paraId="23CCE576" w14:textId="2A755D7F" w:rsidR="00B05B70" w:rsidRPr="00A727F5" w:rsidRDefault="00A01BF0">
      <w:pPr>
        <w:spacing w:before="240" w:after="240" w:line="288" w:lineRule="auto"/>
        <w:rPr>
          <w:color w:val="002060"/>
          <w:sz w:val="20"/>
          <w:szCs w:val="20"/>
          <w:lang w:val="es-ES"/>
        </w:rPr>
      </w:pPr>
      <w:r w:rsidRPr="00A727F5">
        <w:rPr>
          <w:color w:val="002060"/>
          <w:sz w:val="20"/>
          <w:szCs w:val="20"/>
          <w:lang w:val="es-ES"/>
        </w:rPr>
        <w:t xml:space="preserve">El 24 de Abril de 2024 </w:t>
      </w:r>
      <w:r w:rsidR="00B05B70" w:rsidRPr="00A727F5">
        <w:rPr>
          <w:color w:val="002060"/>
          <w:sz w:val="20"/>
          <w:szCs w:val="20"/>
          <w:lang w:val="es-ES"/>
        </w:rPr>
        <w:t>el Parl</w:t>
      </w:r>
      <w:r w:rsidRPr="00A727F5">
        <w:rPr>
          <w:color w:val="002060"/>
          <w:sz w:val="20"/>
          <w:szCs w:val="20"/>
          <w:lang w:val="es-ES"/>
        </w:rPr>
        <w:t>amento Europeo votará sobre la d</w:t>
      </w:r>
      <w:r w:rsidR="00B05B70" w:rsidRPr="00A727F5">
        <w:rPr>
          <w:color w:val="002060"/>
          <w:sz w:val="20"/>
          <w:szCs w:val="20"/>
          <w:lang w:val="es-ES"/>
        </w:rPr>
        <w:t xml:space="preserve">irectiva de </w:t>
      </w:r>
      <w:r w:rsidRPr="00A727F5">
        <w:rPr>
          <w:color w:val="002060"/>
          <w:sz w:val="20"/>
          <w:szCs w:val="20"/>
          <w:lang w:val="es-ES"/>
        </w:rPr>
        <w:t>diligencia d</w:t>
      </w:r>
      <w:r w:rsidR="00B05B70" w:rsidRPr="00A727F5">
        <w:rPr>
          <w:color w:val="002060"/>
          <w:sz w:val="20"/>
          <w:szCs w:val="20"/>
          <w:lang w:val="es-ES"/>
        </w:rPr>
        <w:t xml:space="preserve">ebida de </w:t>
      </w:r>
      <w:r w:rsidRPr="00A727F5">
        <w:rPr>
          <w:color w:val="002060"/>
          <w:sz w:val="20"/>
          <w:szCs w:val="20"/>
          <w:lang w:val="es-ES"/>
        </w:rPr>
        <w:t>las empresas en materia de sostenibilidad</w:t>
      </w:r>
      <w:r w:rsidR="00B05B70" w:rsidRPr="00A727F5">
        <w:rPr>
          <w:color w:val="002060"/>
          <w:sz w:val="20"/>
          <w:szCs w:val="20"/>
          <w:lang w:val="es-ES"/>
        </w:rPr>
        <w:t>. La legislación propuesta no es perfecta y solo se aplica a un pequeño número de marcas, pero significa que</w:t>
      </w:r>
      <w:r w:rsidRPr="00A727F5">
        <w:rPr>
          <w:color w:val="002060"/>
          <w:sz w:val="20"/>
          <w:szCs w:val="20"/>
          <w:lang w:val="es-ES"/>
        </w:rPr>
        <w:t xml:space="preserve"> </w:t>
      </w:r>
      <w:r w:rsidR="00B05B70" w:rsidRPr="00A727F5">
        <w:rPr>
          <w:color w:val="002060"/>
          <w:sz w:val="20"/>
          <w:szCs w:val="20"/>
          <w:lang w:val="es-ES"/>
        </w:rPr>
        <w:t xml:space="preserve">una ley a escala de la UE obligará a las marcas a rendir cuentas de su impacto en las cadenas de valor y </w:t>
      </w:r>
      <w:r w:rsidRPr="00A727F5">
        <w:rPr>
          <w:color w:val="002060"/>
          <w:sz w:val="20"/>
          <w:szCs w:val="20"/>
          <w:lang w:val="es-ES"/>
        </w:rPr>
        <w:t xml:space="preserve">potencialmente </w:t>
      </w:r>
      <w:r w:rsidR="00B05B70" w:rsidRPr="00A727F5">
        <w:rPr>
          <w:color w:val="002060"/>
          <w:sz w:val="20"/>
          <w:szCs w:val="20"/>
          <w:lang w:val="es-ES"/>
        </w:rPr>
        <w:t xml:space="preserve">contribuirá a </w:t>
      </w:r>
      <w:r w:rsidRPr="00A727F5">
        <w:rPr>
          <w:color w:val="002060"/>
          <w:sz w:val="20"/>
          <w:szCs w:val="20"/>
          <w:lang w:val="es-ES"/>
        </w:rPr>
        <w:t xml:space="preserve">prevenir </w:t>
      </w:r>
      <w:r w:rsidR="00B05B70" w:rsidRPr="00A727F5">
        <w:rPr>
          <w:color w:val="002060"/>
          <w:sz w:val="20"/>
          <w:szCs w:val="20"/>
          <w:lang w:val="es-ES"/>
        </w:rPr>
        <w:t>nuevas catástrofes.</w:t>
      </w:r>
    </w:p>
    <w:p w14:paraId="5E23722A" w14:textId="7B310731" w:rsidR="00A727F5" w:rsidRPr="00A727F5" w:rsidRDefault="00A727F5" w:rsidP="00A727F5">
      <w:pPr>
        <w:pStyle w:val="NormalWeb"/>
        <w:rPr>
          <w:rFonts w:asciiTheme="minorHAnsi" w:eastAsiaTheme="minorHAnsi" w:hAnsiTheme="minorHAnsi" w:cstheme="minorBidi"/>
          <w:b/>
          <w:color w:val="002060"/>
          <w:sz w:val="22"/>
          <w:szCs w:val="22"/>
          <w:lang w:eastAsia="en-US"/>
        </w:rPr>
      </w:pPr>
      <w:r w:rsidRPr="00A727F5">
        <w:rPr>
          <w:rFonts w:asciiTheme="minorHAnsi" w:eastAsiaTheme="minorHAnsi" w:hAnsiTheme="minorHAnsi" w:cstheme="minorBidi"/>
          <w:b/>
          <w:color w:val="002060"/>
          <w:sz w:val="22"/>
          <w:szCs w:val="22"/>
          <w:lang w:eastAsia="en-US"/>
        </w:rPr>
        <w:t>¿Cómo mejorará la Directiva sobre la diligencia debida en materia de sostenibilidad empresarial  la forma en que las marcas internacionales hacen negocios y apoyan los derechos y la seguridad de los trabajadores?</w:t>
      </w:r>
    </w:p>
    <w:p w14:paraId="0CFC0E2C" w14:textId="09686D4B" w:rsidR="00B05B70" w:rsidRPr="004D06B1" w:rsidRDefault="00B05B70">
      <w:pPr>
        <w:spacing w:before="240" w:after="240" w:line="288" w:lineRule="auto"/>
        <w:rPr>
          <w:color w:val="002060"/>
          <w:sz w:val="20"/>
          <w:szCs w:val="20"/>
          <w:lang w:val="es-ES"/>
        </w:rPr>
      </w:pPr>
      <w:r w:rsidRPr="004D06B1">
        <w:rPr>
          <w:color w:val="002060"/>
          <w:sz w:val="20"/>
          <w:szCs w:val="20"/>
          <w:lang w:val="es-ES"/>
        </w:rPr>
        <w:t xml:space="preserve">Las empresas tendrán la obligación de llevar a cabo un proceso de diligencia debida en su cadena de suministro, incluida la cadena de valor ascendente y las relaciones comerciales directas e indirectas. </w:t>
      </w:r>
      <w:r w:rsidR="004D06B1">
        <w:rPr>
          <w:color w:val="002060"/>
          <w:sz w:val="20"/>
          <w:szCs w:val="20"/>
          <w:lang w:val="es-ES"/>
        </w:rPr>
        <w:t>Ya n</w:t>
      </w:r>
      <w:r w:rsidR="00A01BF0" w:rsidRPr="004D06B1">
        <w:rPr>
          <w:color w:val="002060"/>
          <w:sz w:val="20"/>
          <w:szCs w:val="20"/>
          <w:lang w:val="es-ES"/>
        </w:rPr>
        <w:t>o</w:t>
      </w:r>
      <w:r w:rsidRPr="004D06B1">
        <w:rPr>
          <w:color w:val="002060"/>
          <w:sz w:val="20"/>
          <w:szCs w:val="20"/>
          <w:lang w:val="es-ES"/>
        </w:rPr>
        <w:t xml:space="preserve"> podrán alegar que no es su responsabilidad porque no son propietarias de la fábrica. Las empresas estarán obligadas a identificar, prevenir, mitigar y remediar el impacto negativo que se produzca en su cadena de valor.</w:t>
      </w:r>
    </w:p>
    <w:p w14:paraId="7A802531" w14:textId="5D311CD7" w:rsidR="00B05B70" w:rsidRPr="004D06B1" w:rsidRDefault="00B05B70">
      <w:pPr>
        <w:spacing w:before="240" w:after="240" w:line="288" w:lineRule="auto"/>
        <w:rPr>
          <w:color w:val="002060"/>
          <w:sz w:val="20"/>
          <w:szCs w:val="20"/>
          <w:lang w:val="es-ES"/>
        </w:rPr>
      </w:pPr>
      <w:r w:rsidRPr="004D06B1">
        <w:rPr>
          <w:color w:val="002060"/>
          <w:sz w:val="20"/>
          <w:szCs w:val="20"/>
          <w:lang w:val="es-ES"/>
        </w:rPr>
        <w:lastRenderedPageBreak/>
        <w:t xml:space="preserve">Tendrán que prestar especial atención a cuestiones específicas de derechos humanos y a los convenios laborales y de derechos humanos, incluidos los relativos a la libertad de asociación, </w:t>
      </w:r>
      <w:r w:rsidR="004D06B1">
        <w:rPr>
          <w:color w:val="002060"/>
          <w:sz w:val="20"/>
          <w:szCs w:val="20"/>
          <w:lang w:val="es-ES"/>
        </w:rPr>
        <w:t xml:space="preserve">salarios, </w:t>
      </w:r>
      <w:r w:rsidRPr="004D06B1">
        <w:rPr>
          <w:color w:val="002060"/>
          <w:sz w:val="20"/>
          <w:szCs w:val="20"/>
          <w:lang w:val="es-ES"/>
        </w:rPr>
        <w:t xml:space="preserve"> seguridad </w:t>
      </w:r>
      <w:proofErr w:type="gramStart"/>
      <w:r w:rsidRPr="004D06B1">
        <w:rPr>
          <w:color w:val="002060"/>
          <w:sz w:val="20"/>
          <w:szCs w:val="20"/>
          <w:lang w:val="es-ES"/>
        </w:rPr>
        <w:t>en</w:t>
      </w:r>
      <w:proofErr w:type="gramEnd"/>
      <w:r w:rsidRPr="004D06B1">
        <w:rPr>
          <w:color w:val="002060"/>
          <w:sz w:val="20"/>
          <w:szCs w:val="20"/>
          <w:lang w:val="es-ES"/>
        </w:rPr>
        <w:t xml:space="preserve"> el trabajo, etc.</w:t>
      </w:r>
      <w:r w:rsidR="00A01BF0" w:rsidRPr="004D06B1">
        <w:rPr>
          <w:color w:val="002060"/>
          <w:sz w:val="20"/>
          <w:szCs w:val="20"/>
          <w:lang w:val="es-ES"/>
        </w:rPr>
        <w:t xml:space="preserve"> Se</w:t>
      </w:r>
      <w:r w:rsidRPr="004D06B1">
        <w:rPr>
          <w:color w:val="002060"/>
          <w:sz w:val="20"/>
          <w:szCs w:val="20"/>
          <w:lang w:val="es-ES"/>
        </w:rPr>
        <w:t xml:space="preserve"> exigirá a las empresas que ayuden a sus proveedores a mejorar sus prácticas, así como que </w:t>
      </w:r>
      <w:r w:rsidR="00A01BF0" w:rsidRPr="004D06B1">
        <w:rPr>
          <w:color w:val="002060"/>
          <w:sz w:val="20"/>
          <w:szCs w:val="20"/>
          <w:lang w:val="es-ES"/>
        </w:rPr>
        <w:t>evalúen</w:t>
      </w:r>
      <w:r w:rsidRPr="004D06B1">
        <w:rPr>
          <w:color w:val="002060"/>
          <w:sz w:val="20"/>
          <w:szCs w:val="20"/>
          <w:lang w:val="es-ES"/>
        </w:rPr>
        <w:t xml:space="preserve"> el impacto de sus propias prácticas de compra y fijación de precios y las modifiquen.</w:t>
      </w:r>
    </w:p>
    <w:p w14:paraId="418FA876" w14:textId="4C91DC89" w:rsidR="00B05B70" w:rsidRPr="004D06B1" w:rsidRDefault="00B05B70" w:rsidP="00B05B70">
      <w:pPr>
        <w:pStyle w:val="NormalWeb"/>
        <w:rPr>
          <w:rFonts w:asciiTheme="minorHAnsi" w:eastAsiaTheme="minorHAnsi" w:hAnsiTheme="minorHAnsi" w:cstheme="minorBidi"/>
          <w:b/>
          <w:color w:val="002060"/>
          <w:sz w:val="22"/>
          <w:szCs w:val="22"/>
          <w:lang w:eastAsia="en-US"/>
        </w:rPr>
      </w:pPr>
      <w:r w:rsidRPr="004D06B1">
        <w:rPr>
          <w:rFonts w:asciiTheme="minorHAnsi" w:eastAsiaTheme="minorHAnsi" w:hAnsiTheme="minorHAnsi" w:cstheme="minorBidi"/>
          <w:b/>
          <w:color w:val="002060"/>
          <w:sz w:val="22"/>
          <w:szCs w:val="22"/>
          <w:lang w:eastAsia="en-US"/>
        </w:rPr>
        <w:t xml:space="preserve">¿Se exigirán responsabilidades a las empresas que </w:t>
      </w:r>
      <w:r w:rsidR="00A01BF0" w:rsidRPr="004D06B1">
        <w:rPr>
          <w:rFonts w:asciiTheme="minorHAnsi" w:eastAsiaTheme="minorHAnsi" w:hAnsiTheme="minorHAnsi" w:cstheme="minorBidi"/>
          <w:b/>
          <w:color w:val="002060"/>
          <w:sz w:val="22"/>
          <w:szCs w:val="22"/>
          <w:lang w:eastAsia="en-US"/>
        </w:rPr>
        <w:t>incumplan</w:t>
      </w:r>
      <w:r w:rsidRPr="004D06B1">
        <w:rPr>
          <w:rFonts w:asciiTheme="minorHAnsi" w:eastAsiaTheme="minorHAnsi" w:hAnsiTheme="minorHAnsi" w:cstheme="minorBidi"/>
          <w:b/>
          <w:color w:val="002060"/>
          <w:sz w:val="22"/>
          <w:szCs w:val="22"/>
          <w:lang w:eastAsia="en-US"/>
        </w:rPr>
        <w:t>?</w:t>
      </w:r>
    </w:p>
    <w:p w14:paraId="5E703F5B" w14:textId="4DFDD9AA" w:rsidR="00B05B70" w:rsidRPr="004D06B1" w:rsidRDefault="00B05B70">
      <w:pPr>
        <w:spacing w:before="240" w:after="240" w:line="288" w:lineRule="auto"/>
        <w:rPr>
          <w:color w:val="002060"/>
          <w:sz w:val="20"/>
          <w:szCs w:val="20"/>
          <w:lang w:val="es-ES"/>
        </w:rPr>
      </w:pPr>
      <w:r w:rsidRPr="004D06B1">
        <w:rPr>
          <w:color w:val="002060"/>
          <w:sz w:val="20"/>
          <w:szCs w:val="20"/>
          <w:lang w:val="es-ES"/>
        </w:rPr>
        <w:t>Sí. Las grandes marcas, como algunas de las que se abastec</w:t>
      </w:r>
      <w:r w:rsidR="00FD2998" w:rsidRPr="004D06B1">
        <w:rPr>
          <w:color w:val="002060"/>
          <w:sz w:val="20"/>
          <w:szCs w:val="20"/>
          <w:lang w:val="es-ES"/>
        </w:rPr>
        <w:t>ían</w:t>
      </w:r>
      <w:r w:rsidRPr="004D06B1">
        <w:rPr>
          <w:color w:val="002060"/>
          <w:sz w:val="20"/>
          <w:szCs w:val="20"/>
          <w:lang w:val="es-ES"/>
        </w:rPr>
        <w:t xml:space="preserve"> en Rana Plaza, tendrían que responder ante los tribunales si no actúan con la diligencia debida y eso da lugar a violaciones de los derechos humanos o daños medioambientales incluidos en el ámbito de aplicación de la Directiva</w:t>
      </w:r>
      <w:r w:rsidRPr="004D06B1">
        <w:rPr>
          <w:color w:val="002060"/>
          <w:sz w:val="20"/>
          <w:szCs w:val="20"/>
          <w:highlight w:val="yellow"/>
          <w:lang w:val="es-ES"/>
        </w:rPr>
        <w:t>. Las víctimas podrían recurrir a la legislación de la UE para reclamar a las empresas reparación y compensación.</w:t>
      </w:r>
    </w:p>
    <w:p w14:paraId="1845CCF8" w14:textId="7CFD5290" w:rsidR="00B05B70" w:rsidRPr="004D06B1" w:rsidRDefault="00B05B70">
      <w:pPr>
        <w:spacing w:before="240" w:after="240" w:line="288" w:lineRule="auto"/>
        <w:rPr>
          <w:color w:val="002060"/>
          <w:sz w:val="20"/>
          <w:szCs w:val="20"/>
          <w:lang w:val="es-ES"/>
        </w:rPr>
      </w:pPr>
      <w:r w:rsidRPr="004D06B1">
        <w:rPr>
          <w:color w:val="002060"/>
          <w:sz w:val="20"/>
          <w:szCs w:val="20"/>
          <w:lang w:val="es-ES"/>
        </w:rPr>
        <w:t>Los Estados miembros también tendrán que crear autoridades nacionales que se ocupen del incumplimiento, que podrán imponer sanciones financieras y no financieras. Por primera vez habrá un sistema a escala de la UE para exigir responsabilidades a las grandes empresas que vulneren los derechos de los trabajadores o dañen el medio ambiente.</w:t>
      </w:r>
    </w:p>
    <w:p w14:paraId="4A792674" w14:textId="4229898B" w:rsidR="00B05B70" w:rsidRPr="004D06B1" w:rsidRDefault="00B05B70" w:rsidP="00B05B70">
      <w:pPr>
        <w:pStyle w:val="NormalWeb"/>
        <w:rPr>
          <w:rFonts w:asciiTheme="minorHAnsi" w:eastAsiaTheme="minorHAnsi" w:hAnsiTheme="minorHAnsi" w:cstheme="minorBidi"/>
          <w:b/>
          <w:color w:val="002060"/>
          <w:sz w:val="22"/>
          <w:szCs w:val="22"/>
          <w:lang w:eastAsia="en-US"/>
        </w:rPr>
      </w:pPr>
      <w:r w:rsidRPr="004D06B1">
        <w:rPr>
          <w:rFonts w:asciiTheme="minorHAnsi" w:eastAsiaTheme="minorHAnsi" w:hAnsiTheme="minorHAnsi" w:cstheme="minorBidi"/>
          <w:b/>
          <w:color w:val="002060"/>
          <w:sz w:val="22"/>
          <w:szCs w:val="22"/>
          <w:lang w:eastAsia="en-US"/>
        </w:rPr>
        <w:t>¿</w:t>
      </w:r>
      <w:r w:rsidR="00FD2998" w:rsidRPr="004D06B1">
        <w:rPr>
          <w:rFonts w:asciiTheme="minorHAnsi" w:eastAsiaTheme="minorHAnsi" w:hAnsiTheme="minorHAnsi" w:cstheme="minorBidi"/>
          <w:b/>
          <w:color w:val="002060"/>
          <w:sz w:val="22"/>
          <w:szCs w:val="22"/>
          <w:lang w:eastAsia="en-US"/>
        </w:rPr>
        <w:t>D</w:t>
      </w:r>
      <w:r w:rsidRPr="004D06B1">
        <w:rPr>
          <w:rFonts w:asciiTheme="minorHAnsi" w:eastAsiaTheme="minorHAnsi" w:hAnsiTheme="minorHAnsi" w:cstheme="minorBidi"/>
          <w:b/>
          <w:color w:val="002060"/>
          <w:sz w:val="22"/>
          <w:szCs w:val="22"/>
          <w:lang w:eastAsia="en-US"/>
        </w:rPr>
        <w:t xml:space="preserve">e haber existido una ley de </w:t>
      </w:r>
      <w:r w:rsidR="00FD2998" w:rsidRPr="004D06B1">
        <w:rPr>
          <w:rFonts w:asciiTheme="minorHAnsi" w:eastAsiaTheme="minorHAnsi" w:hAnsiTheme="minorHAnsi" w:cstheme="minorBidi"/>
          <w:b/>
          <w:color w:val="002060"/>
          <w:sz w:val="22"/>
          <w:szCs w:val="22"/>
          <w:lang w:eastAsia="en-US"/>
        </w:rPr>
        <w:t>CSDDD</w:t>
      </w:r>
      <w:r w:rsidRPr="004D06B1">
        <w:rPr>
          <w:rFonts w:asciiTheme="minorHAnsi" w:eastAsiaTheme="minorHAnsi" w:hAnsiTheme="minorHAnsi" w:cstheme="minorBidi"/>
          <w:b/>
          <w:color w:val="002060"/>
          <w:sz w:val="22"/>
          <w:szCs w:val="22"/>
          <w:lang w:eastAsia="en-US"/>
        </w:rPr>
        <w:t xml:space="preserve"> el derrumbe del edificio Rana Plaza habría tenido el mismo impacto devastador?</w:t>
      </w:r>
    </w:p>
    <w:p w14:paraId="3A0D940B" w14:textId="6ACC79A5" w:rsidR="00B05B70" w:rsidRPr="004D06B1" w:rsidRDefault="00B05B70" w:rsidP="00B05B70">
      <w:pPr>
        <w:rPr>
          <w:color w:val="002060"/>
          <w:sz w:val="20"/>
          <w:szCs w:val="20"/>
          <w:lang w:val="es-ES"/>
        </w:rPr>
      </w:pPr>
      <w:r w:rsidRPr="004D06B1">
        <w:rPr>
          <w:color w:val="002060"/>
          <w:sz w:val="20"/>
          <w:szCs w:val="20"/>
          <w:lang w:val="es-ES"/>
        </w:rPr>
        <w:t>Es impo</w:t>
      </w:r>
      <w:r w:rsidR="004D06B1">
        <w:rPr>
          <w:color w:val="002060"/>
          <w:sz w:val="20"/>
          <w:szCs w:val="20"/>
          <w:lang w:val="es-ES"/>
        </w:rPr>
        <w:t>sible responder a esta pregunta - p</w:t>
      </w:r>
      <w:r w:rsidRPr="004D06B1">
        <w:rPr>
          <w:color w:val="002060"/>
          <w:sz w:val="20"/>
          <w:szCs w:val="20"/>
          <w:lang w:val="es-ES"/>
        </w:rPr>
        <w:t>odem</w:t>
      </w:r>
      <w:r w:rsidR="00FD2998" w:rsidRPr="004D06B1">
        <w:rPr>
          <w:color w:val="002060"/>
          <w:sz w:val="20"/>
          <w:szCs w:val="20"/>
          <w:lang w:val="es-ES"/>
        </w:rPr>
        <w:t xml:space="preserve">os extraer lecciones/hipótesis </w:t>
      </w:r>
      <w:r w:rsidRPr="004D06B1">
        <w:rPr>
          <w:color w:val="002060"/>
          <w:sz w:val="20"/>
          <w:szCs w:val="20"/>
          <w:lang w:val="es-ES"/>
        </w:rPr>
        <w:t>de lo siguiente:</w:t>
      </w:r>
    </w:p>
    <w:p w14:paraId="19CD2C20" w14:textId="3ACA6039" w:rsidR="00B05B70" w:rsidRPr="004D06B1" w:rsidRDefault="004D06B1" w:rsidP="00B05B70">
      <w:pPr>
        <w:rPr>
          <w:color w:val="002060"/>
          <w:sz w:val="20"/>
          <w:szCs w:val="20"/>
          <w:lang w:val="es-ES"/>
        </w:rPr>
      </w:pPr>
      <w:r>
        <w:rPr>
          <w:color w:val="002060"/>
          <w:sz w:val="20"/>
          <w:szCs w:val="20"/>
          <w:lang w:val="es-ES"/>
        </w:rPr>
        <w:t>D</w:t>
      </w:r>
      <w:r w:rsidR="00B05B70" w:rsidRPr="004D06B1">
        <w:rPr>
          <w:color w:val="002060"/>
          <w:sz w:val="20"/>
          <w:szCs w:val="20"/>
          <w:lang w:val="es-ES"/>
        </w:rPr>
        <w:t>isponer de una ley CSDDD habría reducido en gran medida la probabilidad y/o el número de víctimas el día del derrumbe</w:t>
      </w:r>
    </w:p>
    <w:p w14:paraId="2D416330" w14:textId="260627D0" w:rsidR="00B05B70" w:rsidRPr="004D06B1" w:rsidRDefault="004D06B1" w:rsidP="004D06B1">
      <w:pPr>
        <w:numPr>
          <w:ilvl w:val="0"/>
          <w:numId w:val="6"/>
        </w:numPr>
        <w:pBdr>
          <w:top w:val="nil"/>
          <w:left w:val="nil"/>
          <w:bottom w:val="nil"/>
          <w:right w:val="nil"/>
          <w:between w:val="nil"/>
        </w:pBdr>
        <w:spacing w:after="0"/>
        <w:ind w:left="567" w:hanging="283"/>
        <w:rPr>
          <w:rFonts w:ascii="Arial" w:eastAsia="Arial" w:hAnsi="Arial" w:cs="Arial"/>
          <w:color w:val="002060"/>
          <w:sz w:val="20"/>
          <w:szCs w:val="20"/>
          <w:lang w:val="es-ES"/>
        </w:rPr>
      </w:pPr>
      <w:r w:rsidRPr="004D06B1">
        <w:rPr>
          <w:rFonts w:ascii="Arial" w:eastAsia="Arial" w:hAnsi="Arial" w:cs="Arial"/>
          <w:b/>
          <w:color w:val="002060"/>
          <w:sz w:val="20"/>
          <w:szCs w:val="20"/>
          <w:lang w:val="es-ES"/>
        </w:rPr>
        <w:t>Riesgos que las empresas hubieran tenido que identificar</w:t>
      </w:r>
      <w:r>
        <w:rPr>
          <w:rFonts w:ascii="Arial" w:eastAsia="Arial" w:hAnsi="Arial" w:cs="Arial"/>
          <w:color w:val="002060"/>
          <w:sz w:val="20"/>
          <w:szCs w:val="20"/>
          <w:lang w:val="es-ES"/>
        </w:rPr>
        <w:t xml:space="preserve">. </w:t>
      </w:r>
      <w:r w:rsidR="00B05B70" w:rsidRPr="004D06B1">
        <w:rPr>
          <w:rFonts w:ascii="Arial" w:eastAsia="Arial" w:hAnsi="Arial" w:cs="Arial"/>
          <w:color w:val="002060"/>
          <w:sz w:val="20"/>
          <w:szCs w:val="20"/>
          <w:lang w:val="es-ES"/>
        </w:rPr>
        <w:t xml:space="preserve">Las empresas habrían tenido que identificar y evaluar los impactos adversos reales o potenciales, así como prevenirlos y mitigarlos. En la industria textil y de la confección es bien sabido que los riesgos habituales están relacionados con la seguridad en las fábricas, las condiciones laborales, la libertad de asociación y los niveles salariales. En 2013, Bangladesh era uno de los mayores productores de prendas de vestir del mundo y ya se </w:t>
      </w:r>
      <w:r w:rsidR="00FD2998" w:rsidRPr="004D06B1">
        <w:rPr>
          <w:rFonts w:ascii="Arial" w:eastAsia="Arial" w:hAnsi="Arial" w:cs="Arial"/>
          <w:color w:val="002060"/>
          <w:sz w:val="20"/>
          <w:szCs w:val="20"/>
          <w:lang w:val="es-ES"/>
        </w:rPr>
        <w:t>habían producido</w:t>
      </w:r>
      <w:r w:rsidR="00B05B70" w:rsidRPr="004D06B1">
        <w:rPr>
          <w:rFonts w:ascii="Arial" w:eastAsia="Arial" w:hAnsi="Arial" w:cs="Arial"/>
          <w:color w:val="002060"/>
          <w:sz w:val="20"/>
          <w:szCs w:val="20"/>
          <w:lang w:val="es-ES"/>
        </w:rPr>
        <w:t xml:space="preserve"> </w:t>
      </w:r>
      <w:r w:rsidR="00FD2998" w:rsidRPr="004D06B1">
        <w:rPr>
          <w:rFonts w:ascii="Arial" w:eastAsia="Arial" w:hAnsi="Arial" w:cs="Arial"/>
          <w:color w:val="002060"/>
          <w:sz w:val="20"/>
          <w:szCs w:val="20"/>
          <w:lang w:val="es-ES"/>
        </w:rPr>
        <w:t>accidentes debido a la falta de seguridad en las fábricas</w:t>
      </w:r>
      <w:r w:rsidR="00B05B70" w:rsidRPr="004D06B1">
        <w:rPr>
          <w:rFonts w:ascii="Arial" w:eastAsia="Arial" w:hAnsi="Arial" w:cs="Arial"/>
          <w:color w:val="002060"/>
          <w:sz w:val="20"/>
          <w:szCs w:val="20"/>
          <w:lang w:val="es-ES"/>
        </w:rPr>
        <w:t xml:space="preserve"> (</w:t>
      </w:r>
      <w:r w:rsidR="00FD2998" w:rsidRPr="004D06B1">
        <w:rPr>
          <w:rFonts w:ascii="Arial" w:eastAsia="Arial" w:hAnsi="Arial" w:cs="Arial"/>
          <w:color w:val="002060"/>
          <w:sz w:val="20"/>
          <w:szCs w:val="20"/>
          <w:lang w:val="es-ES"/>
        </w:rPr>
        <w:t>caso</w:t>
      </w:r>
      <w:r w:rsidR="00B05B70" w:rsidRPr="004D06B1">
        <w:rPr>
          <w:rFonts w:ascii="Arial" w:eastAsia="Arial" w:hAnsi="Arial" w:cs="Arial"/>
          <w:color w:val="002060"/>
          <w:sz w:val="20"/>
          <w:szCs w:val="20"/>
          <w:lang w:val="es-ES"/>
        </w:rPr>
        <w:t xml:space="preserve"> </w:t>
      </w:r>
      <w:r w:rsidR="00FD2998" w:rsidRPr="004D06B1">
        <w:rPr>
          <w:rFonts w:ascii="Arial" w:eastAsia="Arial" w:hAnsi="Arial" w:cs="Arial"/>
          <w:color w:val="002060"/>
          <w:sz w:val="20"/>
          <w:szCs w:val="20"/>
          <w:lang w:val="es-ES"/>
        </w:rPr>
        <w:t xml:space="preserve">derrumbe </w:t>
      </w:r>
      <w:proofErr w:type="spellStart"/>
      <w:r w:rsidR="00B05B70" w:rsidRPr="004D06B1">
        <w:rPr>
          <w:rFonts w:ascii="Arial" w:eastAsia="Arial" w:hAnsi="Arial" w:cs="Arial"/>
          <w:color w:val="002060"/>
          <w:sz w:val="20"/>
          <w:szCs w:val="20"/>
          <w:lang w:val="es-ES"/>
        </w:rPr>
        <w:t>Spectrum</w:t>
      </w:r>
      <w:proofErr w:type="spellEnd"/>
      <w:r w:rsidR="00B05B70" w:rsidRPr="004D06B1">
        <w:rPr>
          <w:rFonts w:ascii="Arial" w:eastAsia="Arial" w:hAnsi="Arial" w:cs="Arial"/>
          <w:color w:val="002060"/>
          <w:sz w:val="20"/>
          <w:szCs w:val="20"/>
          <w:lang w:val="es-ES"/>
        </w:rPr>
        <w:t xml:space="preserve">, en el que murieron 64 trabajadores en 2005, </w:t>
      </w:r>
      <w:r w:rsidR="00FD2998" w:rsidRPr="004D06B1">
        <w:rPr>
          <w:rFonts w:ascii="Arial" w:eastAsia="Arial" w:hAnsi="Arial" w:cs="Arial"/>
          <w:color w:val="002060"/>
          <w:sz w:val="20"/>
          <w:szCs w:val="20"/>
          <w:lang w:val="es-ES"/>
        </w:rPr>
        <w:t>caso incendio</w:t>
      </w:r>
      <w:r w:rsidR="00B05B70" w:rsidRPr="004D06B1">
        <w:rPr>
          <w:rFonts w:ascii="Arial" w:eastAsia="Arial" w:hAnsi="Arial" w:cs="Arial"/>
          <w:color w:val="002060"/>
          <w:sz w:val="20"/>
          <w:szCs w:val="20"/>
          <w:lang w:val="es-ES"/>
        </w:rPr>
        <w:t xml:space="preserve"> </w:t>
      </w:r>
      <w:proofErr w:type="spellStart"/>
      <w:r w:rsidR="00B05B70" w:rsidRPr="004D06B1">
        <w:rPr>
          <w:rFonts w:ascii="Arial" w:eastAsia="Arial" w:hAnsi="Arial" w:cs="Arial"/>
          <w:color w:val="002060"/>
          <w:sz w:val="20"/>
          <w:szCs w:val="20"/>
          <w:lang w:val="es-ES"/>
        </w:rPr>
        <w:t>Tazreen</w:t>
      </w:r>
      <w:proofErr w:type="spellEnd"/>
      <w:r w:rsidR="00B05B70" w:rsidRPr="004D06B1">
        <w:rPr>
          <w:rFonts w:ascii="Arial" w:eastAsia="Arial" w:hAnsi="Arial" w:cs="Arial"/>
          <w:color w:val="002060"/>
          <w:sz w:val="20"/>
          <w:szCs w:val="20"/>
          <w:lang w:val="es-ES"/>
        </w:rPr>
        <w:t xml:space="preserve"> Fashion, en el que murieron 112 trabajadores en 2012).</w:t>
      </w:r>
    </w:p>
    <w:p w14:paraId="7329041E" w14:textId="0AE0D6F3" w:rsidR="00B05B70" w:rsidRPr="004D06B1" w:rsidRDefault="004D06B1" w:rsidP="004D06B1">
      <w:pPr>
        <w:numPr>
          <w:ilvl w:val="0"/>
          <w:numId w:val="6"/>
        </w:numPr>
        <w:pBdr>
          <w:top w:val="nil"/>
          <w:left w:val="nil"/>
          <w:bottom w:val="nil"/>
          <w:right w:val="nil"/>
          <w:between w:val="nil"/>
        </w:pBdr>
        <w:spacing w:after="0"/>
        <w:ind w:left="567" w:hanging="283"/>
        <w:rPr>
          <w:rFonts w:ascii="Arial" w:eastAsia="Arial" w:hAnsi="Arial" w:cs="Arial"/>
          <w:color w:val="002060"/>
          <w:sz w:val="20"/>
          <w:szCs w:val="20"/>
          <w:lang w:val="es-ES"/>
        </w:rPr>
      </w:pPr>
      <w:r w:rsidRPr="004D06B1">
        <w:rPr>
          <w:rFonts w:ascii="Arial" w:eastAsia="Arial" w:hAnsi="Arial" w:cs="Arial"/>
          <w:b/>
          <w:color w:val="002060"/>
          <w:sz w:val="20"/>
          <w:szCs w:val="20"/>
          <w:lang w:val="es-ES"/>
        </w:rPr>
        <w:t>Derechos sindicales</w:t>
      </w:r>
      <w:r>
        <w:rPr>
          <w:rFonts w:ascii="Arial" w:eastAsia="Arial" w:hAnsi="Arial" w:cs="Arial"/>
          <w:color w:val="002060"/>
          <w:sz w:val="20"/>
          <w:szCs w:val="20"/>
          <w:lang w:val="es-ES"/>
        </w:rPr>
        <w:t xml:space="preserve">. </w:t>
      </w:r>
      <w:r w:rsidR="00FD2998" w:rsidRPr="004D06B1">
        <w:rPr>
          <w:rFonts w:ascii="Arial" w:eastAsia="Arial" w:hAnsi="Arial" w:cs="Arial"/>
          <w:color w:val="002060"/>
          <w:sz w:val="20"/>
          <w:szCs w:val="20"/>
          <w:lang w:val="es-ES"/>
        </w:rPr>
        <w:t>L</w:t>
      </w:r>
      <w:r w:rsidR="00B05B70" w:rsidRPr="004D06B1">
        <w:rPr>
          <w:rFonts w:ascii="Arial" w:eastAsia="Arial" w:hAnsi="Arial" w:cs="Arial"/>
          <w:color w:val="002060"/>
          <w:sz w:val="20"/>
          <w:szCs w:val="20"/>
          <w:lang w:val="es-ES"/>
        </w:rPr>
        <w:t>os sindicatos habrían tenido menos obstáculos para establecerse en esas fábricas</w:t>
      </w:r>
      <w:r w:rsidR="00FD2998" w:rsidRPr="004D06B1">
        <w:rPr>
          <w:rFonts w:ascii="Arial" w:eastAsia="Arial" w:hAnsi="Arial" w:cs="Arial"/>
          <w:color w:val="002060"/>
          <w:sz w:val="20"/>
          <w:szCs w:val="20"/>
          <w:lang w:val="es-ES"/>
        </w:rPr>
        <w:t xml:space="preserve"> favoreciendo e</w:t>
      </w:r>
      <w:r w:rsidR="00FD2998" w:rsidRPr="004D06B1">
        <w:rPr>
          <w:rFonts w:ascii="Arial" w:eastAsia="Arial" w:hAnsi="Arial" w:cs="Arial"/>
          <w:color w:val="002060"/>
          <w:sz w:val="20"/>
          <w:szCs w:val="20"/>
          <w:lang w:val="es-ES"/>
        </w:rPr>
        <w:t xml:space="preserve">l derecho a </w:t>
      </w:r>
      <w:r w:rsidR="00FD2998" w:rsidRPr="004D06B1">
        <w:rPr>
          <w:rFonts w:ascii="Arial" w:eastAsia="Arial" w:hAnsi="Arial" w:cs="Arial"/>
          <w:color w:val="002060"/>
          <w:sz w:val="20"/>
          <w:szCs w:val="20"/>
          <w:lang w:val="es-ES"/>
        </w:rPr>
        <w:t>libertad de asociación</w:t>
      </w:r>
      <w:r w:rsidR="00B05B70" w:rsidRPr="004D06B1">
        <w:rPr>
          <w:rFonts w:ascii="Arial" w:eastAsia="Arial" w:hAnsi="Arial" w:cs="Arial"/>
          <w:color w:val="002060"/>
          <w:sz w:val="20"/>
          <w:szCs w:val="20"/>
          <w:lang w:val="es-ES"/>
        </w:rPr>
        <w:t xml:space="preserve">. </w:t>
      </w:r>
      <w:r w:rsidR="00FD2998" w:rsidRPr="004D06B1">
        <w:rPr>
          <w:rFonts w:ascii="Arial" w:eastAsia="Arial" w:hAnsi="Arial" w:cs="Arial"/>
          <w:color w:val="002060"/>
          <w:sz w:val="20"/>
          <w:szCs w:val="20"/>
          <w:lang w:val="es-ES"/>
        </w:rPr>
        <w:t>H</w:t>
      </w:r>
      <w:r w:rsidR="00B05B70" w:rsidRPr="004D06B1">
        <w:rPr>
          <w:rFonts w:ascii="Arial" w:eastAsia="Arial" w:hAnsi="Arial" w:cs="Arial"/>
          <w:color w:val="002060"/>
          <w:sz w:val="20"/>
          <w:szCs w:val="20"/>
          <w:lang w:val="es-ES"/>
        </w:rPr>
        <w:t xml:space="preserve">abría significado que </w:t>
      </w:r>
      <w:r w:rsidR="00FD2998" w:rsidRPr="004D06B1">
        <w:rPr>
          <w:rFonts w:ascii="Arial" w:eastAsia="Arial" w:hAnsi="Arial" w:cs="Arial"/>
          <w:color w:val="002060"/>
          <w:sz w:val="20"/>
          <w:szCs w:val="20"/>
          <w:lang w:val="es-ES"/>
        </w:rPr>
        <w:t>las personas</w:t>
      </w:r>
      <w:r w:rsidR="00B05B70" w:rsidRPr="004D06B1">
        <w:rPr>
          <w:rFonts w:ascii="Arial" w:eastAsia="Arial" w:hAnsi="Arial" w:cs="Arial"/>
          <w:color w:val="002060"/>
          <w:sz w:val="20"/>
          <w:szCs w:val="20"/>
          <w:lang w:val="es-ES"/>
        </w:rPr>
        <w:t xml:space="preserve"> que se negaban a volver a entrar </w:t>
      </w:r>
      <w:r w:rsidR="00FD2998" w:rsidRPr="004D06B1">
        <w:rPr>
          <w:rFonts w:ascii="Arial" w:eastAsia="Arial" w:hAnsi="Arial" w:cs="Arial"/>
          <w:color w:val="002060"/>
          <w:sz w:val="20"/>
          <w:szCs w:val="20"/>
          <w:lang w:val="es-ES"/>
        </w:rPr>
        <w:t xml:space="preserve">al Rana Plaza tras ver las grietas iniciales, </w:t>
      </w:r>
      <w:r w:rsidR="00B05B70" w:rsidRPr="004D06B1">
        <w:rPr>
          <w:rFonts w:ascii="Arial" w:eastAsia="Arial" w:hAnsi="Arial" w:cs="Arial"/>
          <w:color w:val="002060"/>
          <w:sz w:val="20"/>
          <w:szCs w:val="20"/>
          <w:lang w:val="es-ES"/>
        </w:rPr>
        <w:t xml:space="preserve">habrían podido actuar colectivamente </w:t>
      </w:r>
      <w:r>
        <w:rPr>
          <w:rFonts w:ascii="Arial" w:eastAsia="Arial" w:hAnsi="Arial" w:cs="Arial"/>
          <w:color w:val="002060"/>
          <w:sz w:val="20"/>
          <w:szCs w:val="20"/>
          <w:lang w:val="es-ES"/>
        </w:rPr>
        <w:t xml:space="preserve">a través </w:t>
      </w:r>
      <w:r w:rsidR="00B05B70" w:rsidRPr="004D06B1">
        <w:rPr>
          <w:rFonts w:ascii="Arial" w:eastAsia="Arial" w:hAnsi="Arial" w:cs="Arial"/>
          <w:color w:val="002060"/>
          <w:sz w:val="20"/>
          <w:szCs w:val="20"/>
          <w:lang w:val="es-ES"/>
        </w:rPr>
        <w:t xml:space="preserve">de los sindicatos. </w:t>
      </w:r>
    </w:p>
    <w:p w14:paraId="6334AE9E" w14:textId="48AFC5FF" w:rsidR="00B05B70" w:rsidRPr="004D06B1" w:rsidRDefault="004D06B1" w:rsidP="004D06B1">
      <w:pPr>
        <w:numPr>
          <w:ilvl w:val="0"/>
          <w:numId w:val="6"/>
        </w:numPr>
        <w:pBdr>
          <w:top w:val="nil"/>
          <w:left w:val="nil"/>
          <w:bottom w:val="nil"/>
          <w:right w:val="nil"/>
          <w:between w:val="nil"/>
        </w:pBdr>
        <w:spacing w:after="0"/>
        <w:ind w:left="567" w:hanging="283"/>
        <w:rPr>
          <w:rFonts w:ascii="Arial" w:eastAsia="Arial" w:hAnsi="Arial" w:cs="Arial"/>
          <w:color w:val="002060"/>
          <w:sz w:val="20"/>
          <w:szCs w:val="20"/>
          <w:lang w:val="es-ES"/>
        </w:rPr>
      </w:pPr>
      <w:r>
        <w:rPr>
          <w:rFonts w:ascii="Arial" w:eastAsia="Arial" w:hAnsi="Arial" w:cs="Arial"/>
          <w:b/>
          <w:color w:val="002060"/>
          <w:sz w:val="20"/>
          <w:szCs w:val="20"/>
          <w:lang w:val="es-ES"/>
        </w:rPr>
        <w:t>Bajos s</w:t>
      </w:r>
      <w:r w:rsidRPr="004D06B1">
        <w:rPr>
          <w:rFonts w:ascii="Arial" w:eastAsia="Arial" w:hAnsi="Arial" w:cs="Arial"/>
          <w:b/>
          <w:color w:val="002060"/>
          <w:sz w:val="20"/>
          <w:szCs w:val="20"/>
          <w:lang w:val="es-ES"/>
        </w:rPr>
        <w:t>alarios</w:t>
      </w:r>
      <w:r>
        <w:rPr>
          <w:rFonts w:ascii="Arial" w:eastAsia="Arial" w:hAnsi="Arial" w:cs="Arial"/>
          <w:color w:val="002060"/>
          <w:sz w:val="20"/>
          <w:szCs w:val="20"/>
          <w:lang w:val="es-ES"/>
        </w:rPr>
        <w:t xml:space="preserve">. </w:t>
      </w:r>
      <w:r w:rsidR="00B05B70" w:rsidRPr="004D06B1">
        <w:rPr>
          <w:rFonts w:ascii="Arial" w:eastAsia="Arial" w:hAnsi="Arial" w:cs="Arial"/>
          <w:color w:val="002060"/>
          <w:sz w:val="20"/>
          <w:szCs w:val="20"/>
          <w:lang w:val="es-ES"/>
        </w:rPr>
        <w:t>L</w:t>
      </w:r>
      <w:r w:rsidR="00FD2998" w:rsidRPr="004D06B1">
        <w:rPr>
          <w:rFonts w:ascii="Arial" w:eastAsia="Arial" w:hAnsi="Arial" w:cs="Arial"/>
          <w:color w:val="002060"/>
          <w:sz w:val="20"/>
          <w:szCs w:val="20"/>
          <w:lang w:val="es-ES"/>
        </w:rPr>
        <w:t xml:space="preserve">os bajos salarios supusieron una </w:t>
      </w:r>
      <w:r w:rsidR="00B05B70" w:rsidRPr="004D06B1">
        <w:rPr>
          <w:rFonts w:ascii="Arial" w:eastAsia="Arial" w:hAnsi="Arial" w:cs="Arial"/>
          <w:color w:val="002060"/>
          <w:sz w:val="20"/>
          <w:szCs w:val="20"/>
          <w:lang w:val="es-ES"/>
        </w:rPr>
        <w:t>presión econ</w:t>
      </w:r>
      <w:r w:rsidR="00FD2998" w:rsidRPr="004D06B1">
        <w:rPr>
          <w:rFonts w:ascii="Arial" w:eastAsia="Arial" w:hAnsi="Arial" w:cs="Arial"/>
          <w:color w:val="002060"/>
          <w:sz w:val="20"/>
          <w:szCs w:val="20"/>
          <w:lang w:val="es-ES"/>
        </w:rPr>
        <w:t>ómica evidente;</w:t>
      </w:r>
      <w:r w:rsidR="00B05B70" w:rsidRPr="004D06B1">
        <w:rPr>
          <w:rFonts w:ascii="Arial" w:eastAsia="Arial" w:hAnsi="Arial" w:cs="Arial"/>
          <w:color w:val="002060"/>
          <w:sz w:val="20"/>
          <w:szCs w:val="20"/>
          <w:lang w:val="es-ES"/>
        </w:rPr>
        <w:t xml:space="preserve"> </w:t>
      </w:r>
      <w:r>
        <w:rPr>
          <w:rFonts w:ascii="Arial" w:eastAsia="Arial" w:hAnsi="Arial" w:cs="Arial"/>
          <w:color w:val="002060"/>
          <w:sz w:val="20"/>
          <w:szCs w:val="20"/>
          <w:lang w:val="es-ES"/>
        </w:rPr>
        <w:t xml:space="preserve">les </w:t>
      </w:r>
      <w:r w:rsidR="00B05B70" w:rsidRPr="004D06B1">
        <w:rPr>
          <w:rFonts w:ascii="Arial" w:eastAsia="Arial" w:hAnsi="Arial" w:cs="Arial"/>
          <w:color w:val="002060"/>
          <w:sz w:val="20"/>
          <w:szCs w:val="20"/>
          <w:lang w:val="es-ES"/>
        </w:rPr>
        <w:t>empujó a entrar en el edificio por</w:t>
      </w:r>
      <w:r w:rsidR="00FD2998" w:rsidRPr="004D06B1">
        <w:rPr>
          <w:rFonts w:ascii="Arial" w:eastAsia="Arial" w:hAnsi="Arial" w:cs="Arial"/>
          <w:color w:val="002060"/>
          <w:sz w:val="20"/>
          <w:szCs w:val="20"/>
          <w:lang w:val="es-ES"/>
        </w:rPr>
        <w:t xml:space="preserve">que no podían permitirse </w:t>
      </w:r>
      <w:r w:rsidR="00B05B70" w:rsidRPr="004D06B1">
        <w:rPr>
          <w:rFonts w:ascii="Arial" w:eastAsia="Arial" w:hAnsi="Arial" w:cs="Arial"/>
          <w:color w:val="002060"/>
          <w:sz w:val="20"/>
          <w:szCs w:val="20"/>
          <w:lang w:val="es-ES"/>
        </w:rPr>
        <w:t xml:space="preserve">perder un día de </w:t>
      </w:r>
      <w:r>
        <w:rPr>
          <w:rFonts w:ascii="Arial" w:eastAsia="Arial" w:hAnsi="Arial" w:cs="Arial"/>
          <w:color w:val="002060"/>
          <w:sz w:val="20"/>
          <w:szCs w:val="20"/>
          <w:lang w:val="es-ES"/>
        </w:rPr>
        <w:t>sueldo</w:t>
      </w:r>
      <w:r w:rsidR="00B05B70" w:rsidRPr="004D06B1">
        <w:rPr>
          <w:rFonts w:ascii="Arial" w:eastAsia="Arial" w:hAnsi="Arial" w:cs="Arial"/>
          <w:color w:val="002060"/>
          <w:sz w:val="20"/>
          <w:szCs w:val="20"/>
          <w:lang w:val="es-ES"/>
        </w:rPr>
        <w:t xml:space="preserve">. En virtud de los requisitos de la </w:t>
      </w:r>
      <w:r w:rsidR="00FD2998" w:rsidRPr="004D06B1">
        <w:rPr>
          <w:rFonts w:ascii="Arial" w:eastAsia="Arial" w:hAnsi="Arial" w:cs="Arial"/>
          <w:color w:val="002060"/>
          <w:sz w:val="20"/>
          <w:szCs w:val="20"/>
          <w:lang w:val="es-ES"/>
        </w:rPr>
        <w:t>directiva</w:t>
      </w:r>
      <w:r w:rsidR="00B05B70" w:rsidRPr="004D06B1">
        <w:rPr>
          <w:rFonts w:ascii="Arial" w:eastAsia="Arial" w:hAnsi="Arial" w:cs="Arial"/>
          <w:color w:val="002060"/>
          <w:sz w:val="20"/>
          <w:szCs w:val="20"/>
          <w:lang w:val="es-ES"/>
        </w:rPr>
        <w:t xml:space="preserve">, las empresas tendrán que evaluar, mitigar y remediar su impacto sobre el derecho a disfrutar de condiciones de </w:t>
      </w:r>
      <w:r w:rsidR="00FD2998" w:rsidRPr="004D06B1">
        <w:rPr>
          <w:rFonts w:ascii="Arial" w:eastAsia="Arial" w:hAnsi="Arial" w:cs="Arial"/>
          <w:color w:val="002060"/>
          <w:sz w:val="20"/>
          <w:szCs w:val="20"/>
          <w:lang w:val="es-ES"/>
        </w:rPr>
        <w:t>trabajo justas, incluido</w:t>
      </w:r>
      <w:r w:rsidR="00B05B70" w:rsidRPr="004D06B1">
        <w:rPr>
          <w:rFonts w:ascii="Arial" w:eastAsia="Arial" w:hAnsi="Arial" w:cs="Arial"/>
          <w:color w:val="002060"/>
          <w:sz w:val="20"/>
          <w:szCs w:val="20"/>
          <w:lang w:val="es-ES"/>
        </w:rPr>
        <w:t xml:space="preserve"> un salario vital adecuado.</w:t>
      </w:r>
    </w:p>
    <w:p w14:paraId="61A5E1DE" w14:textId="658993F1" w:rsidR="00B05B70" w:rsidRPr="004D06B1" w:rsidRDefault="004D06B1" w:rsidP="004D06B1">
      <w:pPr>
        <w:numPr>
          <w:ilvl w:val="0"/>
          <w:numId w:val="6"/>
        </w:numPr>
        <w:pBdr>
          <w:top w:val="nil"/>
          <w:left w:val="nil"/>
          <w:bottom w:val="nil"/>
          <w:right w:val="nil"/>
          <w:between w:val="nil"/>
        </w:pBdr>
        <w:spacing w:after="0"/>
        <w:ind w:left="567" w:hanging="283"/>
        <w:rPr>
          <w:rFonts w:ascii="Arial" w:eastAsia="Arial" w:hAnsi="Arial" w:cs="Arial"/>
          <w:color w:val="002060"/>
          <w:sz w:val="20"/>
          <w:szCs w:val="20"/>
          <w:lang w:val="es-ES"/>
        </w:rPr>
      </w:pPr>
      <w:r w:rsidRPr="004D06B1">
        <w:rPr>
          <w:rFonts w:ascii="Arial" w:eastAsia="Arial" w:hAnsi="Arial" w:cs="Arial"/>
          <w:b/>
          <w:color w:val="002060"/>
          <w:sz w:val="20"/>
          <w:szCs w:val="20"/>
          <w:lang w:val="es-ES"/>
        </w:rPr>
        <w:t>Salud y seguridad</w:t>
      </w:r>
      <w:r>
        <w:rPr>
          <w:rFonts w:ascii="Arial" w:eastAsia="Arial" w:hAnsi="Arial" w:cs="Arial"/>
          <w:color w:val="002060"/>
          <w:sz w:val="20"/>
          <w:szCs w:val="20"/>
          <w:lang w:val="es-ES"/>
        </w:rPr>
        <w:t xml:space="preserve">. </w:t>
      </w:r>
      <w:r w:rsidR="00B05B70" w:rsidRPr="004D06B1">
        <w:rPr>
          <w:rFonts w:ascii="Arial" w:eastAsia="Arial" w:hAnsi="Arial" w:cs="Arial"/>
          <w:color w:val="002060"/>
          <w:sz w:val="20"/>
          <w:szCs w:val="20"/>
          <w:lang w:val="es-ES"/>
        </w:rPr>
        <w:t xml:space="preserve">Las empresas cubiertas por la </w:t>
      </w:r>
      <w:r w:rsidR="00FD2998" w:rsidRPr="004D06B1">
        <w:rPr>
          <w:rFonts w:ascii="Arial" w:eastAsia="Arial" w:hAnsi="Arial" w:cs="Arial"/>
          <w:color w:val="002060"/>
          <w:sz w:val="20"/>
          <w:szCs w:val="20"/>
          <w:lang w:val="es-ES"/>
        </w:rPr>
        <w:t>d</w:t>
      </w:r>
      <w:r w:rsidR="00B05B70" w:rsidRPr="004D06B1">
        <w:rPr>
          <w:rFonts w:ascii="Arial" w:eastAsia="Arial" w:hAnsi="Arial" w:cs="Arial"/>
          <w:color w:val="002060"/>
          <w:sz w:val="20"/>
          <w:szCs w:val="20"/>
          <w:lang w:val="es-ES"/>
        </w:rPr>
        <w:t>irectiva comunitaria habrían tenido la obligación de examinar el impacto de sus actividades en las condiciones laborales seguras y saludables de los trabajadores. La salud y la seguridad en el trabajo -incluida la integridad estructural, los riesgos de incendio y la seguridad eléctrica- son riesgos bien documentados en la industria de la confección, por lo que las empresas probablemente les habrían dado prioridad en el contexto de su proceso de diligencia debida.</w:t>
      </w:r>
    </w:p>
    <w:p w14:paraId="31CF1597" w14:textId="7B9B855C" w:rsidR="00B05B70" w:rsidRPr="004D06B1" w:rsidRDefault="008E1F22" w:rsidP="004D06B1">
      <w:pPr>
        <w:numPr>
          <w:ilvl w:val="0"/>
          <w:numId w:val="6"/>
        </w:numPr>
        <w:pBdr>
          <w:top w:val="nil"/>
          <w:left w:val="nil"/>
          <w:bottom w:val="nil"/>
          <w:right w:val="nil"/>
          <w:between w:val="nil"/>
        </w:pBdr>
        <w:ind w:left="567" w:hanging="283"/>
        <w:rPr>
          <w:rFonts w:ascii="Arial" w:eastAsia="Arial" w:hAnsi="Arial" w:cs="Arial"/>
          <w:color w:val="002060"/>
          <w:sz w:val="20"/>
          <w:szCs w:val="20"/>
          <w:lang w:val="es-ES"/>
        </w:rPr>
      </w:pPr>
      <w:r w:rsidRPr="008E1F22">
        <w:rPr>
          <w:rFonts w:ascii="Arial" w:eastAsia="Arial" w:hAnsi="Arial" w:cs="Arial"/>
          <w:b/>
          <w:color w:val="002060"/>
          <w:sz w:val="20"/>
          <w:szCs w:val="20"/>
          <w:lang w:val="es-ES"/>
        </w:rPr>
        <w:t>Responsabilidades</w:t>
      </w:r>
      <w:r>
        <w:rPr>
          <w:rFonts w:ascii="Arial" w:eastAsia="Arial" w:hAnsi="Arial" w:cs="Arial"/>
          <w:color w:val="002060"/>
          <w:sz w:val="20"/>
          <w:szCs w:val="20"/>
          <w:lang w:val="es-ES"/>
        </w:rPr>
        <w:t xml:space="preserve">. </w:t>
      </w:r>
      <w:r w:rsidR="00B05B70" w:rsidRPr="004D06B1">
        <w:rPr>
          <w:rFonts w:ascii="Arial" w:eastAsia="Arial" w:hAnsi="Arial" w:cs="Arial"/>
          <w:color w:val="002060"/>
          <w:sz w:val="20"/>
          <w:szCs w:val="20"/>
          <w:lang w:val="es-ES"/>
        </w:rPr>
        <w:t xml:space="preserve">Habría sido posible exigir responsabilidades a las empresas por su papel en el derrumbe. </w:t>
      </w:r>
      <w:r w:rsidR="00F545E5" w:rsidRPr="004D06B1">
        <w:rPr>
          <w:rFonts w:ascii="Arial" w:eastAsia="Arial" w:hAnsi="Arial" w:cs="Arial"/>
          <w:color w:val="002060"/>
          <w:sz w:val="20"/>
          <w:szCs w:val="20"/>
          <w:lang w:val="es-ES"/>
        </w:rPr>
        <w:t>N</w:t>
      </w:r>
      <w:r w:rsidR="00B05B70" w:rsidRPr="004D06B1">
        <w:rPr>
          <w:rFonts w:ascii="Arial" w:eastAsia="Arial" w:hAnsi="Arial" w:cs="Arial"/>
          <w:color w:val="002060"/>
          <w:sz w:val="20"/>
          <w:szCs w:val="20"/>
          <w:lang w:val="es-ES"/>
        </w:rPr>
        <w:t>inguna empresa que se abastec</w:t>
      </w:r>
      <w:r w:rsidR="00F545E5" w:rsidRPr="004D06B1">
        <w:rPr>
          <w:rFonts w:ascii="Arial" w:eastAsia="Arial" w:hAnsi="Arial" w:cs="Arial"/>
          <w:color w:val="002060"/>
          <w:sz w:val="20"/>
          <w:szCs w:val="20"/>
          <w:lang w:val="es-ES"/>
        </w:rPr>
        <w:t>ía</w:t>
      </w:r>
      <w:r w:rsidR="00B05B70" w:rsidRPr="004D06B1">
        <w:rPr>
          <w:rFonts w:ascii="Arial" w:eastAsia="Arial" w:hAnsi="Arial" w:cs="Arial"/>
          <w:color w:val="002060"/>
          <w:sz w:val="20"/>
          <w:szCs w:val="20"/>
          <w:lang w:val="es-ES"/>
        </w:rPr>
        <w:t xml:space="preserve"> en la fábrica o </w:t>
      </w:r>
      <w:r w:rsidR="00F545E5" w:rsidRPr="004D06B1">
        <w:rPr>
          <w:rFonts w:ascii="Arial" w:eastAsia="Arial" w:hAnsi="Arial" w:cs="Arial"/>
          <w:color w:val="002060"/>
          <w:sz w:val="20"/>
          <w:szCs w:val="20"/>
          <w:lang w:val="es-ES"/>
        </w:rPr>
        <w:t xml:space="preserve">que estuvo </w:t>
      </w:r>
      <w:r w:rsidR="00B05B70" w:rsidRPr="004D06B1">
        <w:rPr>
          <w:rFonts w:ascii="Arial" w:eastAsia="Arial" w:hAnsi="Arial" w:cs="Arial"/>
          <w:color w:val="002060"/>
          <w:sz w:val="20"/>
          <w:szCs w:val="20"/>
          <w:lang w:val="es-ES"/>
        </w:rPr>
        <w:t xml:space="preserve">implicada en la catástrofe (empresa auditora) ha sido procesada y condenada. La </w:t>
      </w:r>
      <w:r w:rsidR="00F545E5" w:rsidRPr="004D06B1">
        <w:rPr>
          <w:rFonts w:ascii="Arial" w:eastAsia="Arial" w:hAnsi="Arial" w:cs="Arial"/>
          <w:color w:val="002060"/>
          <w:sz w:val="20"/>
          <w:szCs w:val="20"/>
          <w:lang w:val="es-ES"/>
        </w:rPr>
        <w:t xml:space="preserve">directiva </w:t>
      </w:r>
      <w:r w:rsidR="00B05B70" w:rsidRPr="004D06B1">
        <w:rPr>
          <w:rFonts w:ascii="Arial" w:eastAsia="Arial" w:hAnsi="Arial" w:cs="Arial"/>
          <w:color w:val="002060"/>
          <w:sz w:val="20"/>
          <w:szCs w:val="20"/>
          <w:lang w:val="es-ES"/>
        </w:rPr>
        <w:t>C</w:t>
      </w:r>
      <w:r w:rsidR="00F545E5" w:rsidRPr="004D06B1">
        <w:rPr>
          <w:rFonts w:ascii="Arial" w:eastAsia="Arial" w:hAnsi="Arial" w:cs="Arial"/>
          <w:color w:val="002060"/>
          <w:sz w:val="20"/>
          <w:szCs w:val="20"/>
          <w:lang w:val="es-ES"/>
        </w:rPr>
        <w:t>SDDD</w:t>
      </w:r>
      <w:r w:rsidR="00B05B70" w:rsidRPr="004D06B1">
        <w:rPr>
          <w:rFonts w:ascii="Arial" w:eastAsia="Arial" w:hAnsi="Arial" w:cs="Arial"/>
          <w:color w:val="002060"/>
          <w:sz w:val="20"/>
          <w:szCs w:val="20"/>
          <w:lang w:val="es-ES"/>
        </w:rPr>
        <w:t xml:space="preserve"> aprobada hoy habría permitido -a través de su artículo 20- demandar a las empresas por no haber actuado con la diligencia debida y por los daños que se habrían derivado.</w:t>
      </w:r>
    </w:p>
    <w:p w14:paraId="7DCCE2C5" w14:textId="382492E2" w:rsidR="00F545E5" w:rsidRPr="008E1F22" w:rsidRDefault="00F545E5">
      <w:pPr>
        <w:rPr>
          <w:b/>
          <w:color w:val="002060"/>
          <w:sz w:val="24"/>
          <w:szCs w:val="24"/>
          <w:lang w:val="es-ES"/>
        </w:rPr>
      </w:pPr>
      <w:r w:rsidRPr="008E1F22">
        <w:rPr>
          <w:b/>
          <w:color w:val="002060"/>
          <w:sz w:val="24"/>
          <w:szCs w:val="24"/>
          <w:lang w:val="es-ES"/>
        </w:rPr>
        <w:t>IMPORTANTES DEFICIENCIAS</w:t>
      </w:r>
    </w:p>
    <w:p w14:paraId="09E2646B" w14:textId="60B14CD5" w:rsidR="00F545E5" w:rsidRPr="008E1F22" w:rsidRDefault="008E1F22" w:rsidP="00F545E5">
      <w:pPr>
        <w:rPr>
          <w:color w:val="002060"/>
          <w:sz w:val="20"/>
          <w:szCs w:val="20"/>
          <w:lang w:val="es-ES"/>
        </w:rPr>
      </w:pPr>
      <w:r>
        <w:rPr>
          <w:color w:val="002060"/>
          <w:sz w:val="20"/>
          <w:szCs w:val="20"/>
          <w:lang w:val="es-ES"/>
        </w:rPr>
        <w:lastRenderedPageBreak/>
        <w:t>L</w:t>
      </w:r>
      <w:r w:rsidR="009C5538" w:rsidRPr="008E1F22">
        <w:rPr>
          <w:color w:val="002060"/>
          <w:sz w:val="20"/>
          <w:szCs w:val="20"/>
          <w:lang w:val="es-ES"/>
        </w:rPr>
        <w:t>a</w:t>
      </w:r>
      <w:r w:rsidR="00B05B70" w:rsidRPr="008E1F22">
        <w:rPr>
          <w:color w:val="002060"/>
          <w:sz w:val="20"/>
          <w:szCs w:val="20"/>
          <w:lang w:val="es-ES"/>
        </w:rPr>
        <w:t xml:space="preserve"> </w:t>
      </w:r>
      <w:r w:rsidR="00F545E5" w:rsidRPr="008E1F22">
        <w:rPr>
          <w:color w:val="002060"/>
          <w:sz w:val="20"/>
          <w:szCs w:val="20"/>
          <w:lang w:val="es-ES"/>
        </w:rPr>
        <w:t xml:space="preserve">directiva CSDDD </w:t>
      </w:r>
      <w:r w:rsidR="00B05B70" w:rsidRPr="008E1F22">
        <w:rPr>
          <w:color w:val="002060"/>
          <w:sz w:val="20"/>
          <w:szCs w:val="20"/>
          <w:lang w:val="es-ES"/>
        </w:rPr>
        <w:t>aprobada pr</w:t>
      </w:r>
      <w:r w:rsidR="00F545E5" w:rsidRPr="008E1F22">
        <w:rPr>
          <w:color w:val="002060"/>
          <w:sz w:val="20"/>
          <w:szCs w:val="20"/>
          <w:lang w:val="es-ES"/>
        </w:rPr>
        <w:t xml:space="preserve">esenta importantes deficiencias: </w:t>
      </w:r>
      <w:r w:rsidR="00B05B70" w:rsidRPr="008E1F22">
        <w:rPr>
          <w:color w:val="002060"/>
          <w:sz w:val="20"/>
          <w:szCs w:val="20"/>
          <w:lang w:val="es-ES"/>
        </w:rPr>
        <w:t xml:space="preserve"> </w:t>
      </w:r>
    </w:p>
    <w:p w14:paraId="6CF8E92C" w14:textId="4D3307E1" w:rsidR="00B05B70" w:rsidRPr="008E1F22" w:rsidRDefault="00F545E5" w:rsidP="008E1F22">
      <w:pPr>
        <w:pStyle w:val="Prrafodelista"/>
        <w:numPr>
          <w:ilvl w:val="0"/>
          <w:numId w:val="7"/>
        </w:numPr>
        <w:rPr>
          <w:rFonts w:ascii="Arial" w:eastAsia="Arial" w:hAnsi="Arial" w:cs="Arial"/>
          <w:color w:val="002060"/>
          <w:sz w:val="20"/>
          <w:szCs w:val="20"/>
          <w:lang w:val="es-ES"/>
        </w:rPr>
      </w:pPr>
      <w:r w:rsidRPr="008E1F22">
        <w:rPr>
          <w:rFonts w:ascii="Arial" w:eastAsia="Arial" w:hAnsi="Arial" w:cs="Arial"/>
          <w:b/>
          <w:color w:val="002060"/>
          <w:sz w:val="20"/>
          <w:szCs w:val="20"/>
          <w:lang w:val="es-ES"/>
        </w:rPr>
        <w:t>Ámbito de aplicación</w:t>
      </w:r>
      <w:r w:rsidRPr="008E1F22">
        <w:rPr>
          <w:rFonts w:ascii="Arial" w:eastAsia="Arial" w:hAnsi="Arial" w:cs="Arial"/>
          <w:color w:val="002060"/>
          <w:sz w:val="20"/>
          <w:szCs w:val="20"/>
          <w:lang w:val="es-ES"/>
        </w:rPr>
        <w:t>. Se ha reducido drásticamente e</w:t>
      </w:r>
      <w:r w:rsidR="00B05B70" w:rsidRPr="008E1F22">
        <w:rPr>
          <w:rFonts w:ascii="Arial" w:eastAsia="Arial" w:hAnsi="Arial" w:cs="Arial"/>
          <w:color w:val="002060"/>
          <w:sz w:val="20"/>
          <w:szCs w:val="20"/>
          <w:lang w:val="es-ES"/>
        </w:rPr>
        <w:t>l número de empresas que tendrán que</w:t>
      </w:r>
      <w:r w:rsidRPr="008E1F22">
        <w:rPr>
          <w:rFonts w:ascii="Arial" w:eastAsia="Arial" w:hAnsi="Arial" w:cs="Arial"/>
          <w:color w:val="002060"/>
          <w:sz w:val="20"/>
          <w:szCs w:val="20"/>
          <w:lang w:val="es-ES"/>
        </w:rPr>
        <w:t xml:space="preserve"> cumplir los requisitos legales. S</w:t>
      </w:r>
      <w:r w:rsidR="00B05B70" w:rsidRPr="008E1F22">
        <w:rPr>
          <w:rFonts w:ascii="Arial" w:eastAsia="Arial" w:hAnsi="Arial" w:cs="Arial"/>
          <w:color w:val="002060"/>
          <w:sz w:val="20"/>
          <w:szCs w:val="20"/>
          <w:lang w:val="es-ES"/>
        </w:rPr>
        <w:t>ólo se aplicará a las empresas de más de 1.000 empleados y 450 millones de euros de volumen de negocios</w:t>
      </w:r>
      <w:r w:rsidRPr="008E1F22">
        <w:rPr>
          <w:rFonts w:ascii="Arial" w:eastAsia="Arial" w:hAnsi="Arial" w:cs="Arial"/>
          <w:color w:val="002060"/>
          <w:sz w:val="20"/>
          <w:szCs w:val="20"/>
          <w:lang w:val="es-ES"/>
        </w:rPr>
        <w:t>. S</w:t>
      </w:r>
      <w:r w:rsidR="00B05B70" w:rsidRPr="008E1F22">
        <w:rPr>
          <w:rFonts w:ascii="Arial" w:eastAsia="Arial" w:hAnsi="Arial" w:cs="Arial"/>
          <w:color w:val="002060"/>
          <w:sz w:val="20"/>
          <w:szCs w:val="20"/>
          <w:lang w:val="es-ES"/>
        </w:rPr>
        <w:t>e ha suprimid</w:t>
      </w:r>
      <w:r w:rsidRPr="008E1F22">
        <w:rPr>
          <w:rFonts w:ascii="Arial" w:eastAsia="Arial" w:hAnsi="Arial" w:cs="Arial"/>
          <w:color w:val="002060"/>
          <w:sz w:val="20"/>
          <w:szCs w:val="20"/>
          <w:lang w:val="es-ES"/>
        </w:rPr>
        <w:t xml:space="preserve">o el umbral secundario para </w:t>
      </w:r>
      <w:r w:rsidR="00B05B70" w:rsidRPr="008E1F22">
        <w:rPr>
          <w:rFonts w:ascii="Arial" w:eastAsia="Arial" w:hAnsi="Arial" w:cs="Arial"/>
          <w:color w:val="002060"/>
          <w:sz w:val="20"/>
          <w:szCs w:val="20"/>
          <w:lang w:val="es-ES"/>
        </w:rPr>
        <w:t>empresas activas en sectores de alto impacto (incluido el textil y la confección)</w:t>
      </w:r>
      <w:r w:rsidRPr="008E1F22">
        <w:rPr>
          <w:rFonts w:ascii="Arial" w:eastAsia="Arial" w:hAnsi="Arial" w:cs="Arial"/>
          <w:color w:val="002060"/>
          <w:sz w:val="20"/>
          <w:szCs w:val="20"/>
          <w:lang w:val="es-ES"/>
        </w:rPr>
        <w:t>. La</w:t>
      </w:r>
      <w:r w:rsidR="00B05B70" w:rsidRPr="008E1F22">
        <w:rPr>
          <w:rFonts w:ascii="Arial" w:eastAsia="Arial" w:hAnsi="Arial" w:cs="Arial"/>
          <w:color w:val="002060"/>
          <w:sz w:val="20"/>
          <w:szCs w:val="20"/>
          <w:lang w:val="es-ES"/>
        </w:rPr>
        <w:t xml:space="preserve"> entrada en vigor de la ley será escalonada en función del tamaño de las empresas.</w:t>
      </w:r>
    </w:p>
    <w:p w14:paraId="333A6C97" w14:textId="6BE7B481" w:rsidR="00B05B70" w:rsidRPr="008E1F22" w:rsidRDefault="009C5538" w:rsidP="008E1F22">
      <w:pPr>
        <w:pStyle w:val="Prrafodelista"/>
        <w:numPr>
          <w:ilvl w:val="0"/>
          <w:numId w:val="7"/>
        </w:numPr>
        <w:pBdr>
          <w:top w:val="nil"/>
          <w:left w:val="nil"/>
          <w:bottom w:val="nil"/>
          <w:right w:val="nil"/>
          <w:between w:val="nil"/>
        </w:pBdr>
        <w:spacing w:after="0"/>
        <w:rPr>
          <w:rFonts w:ascii="Arial" w:eastAsia="Arial" w:hAnsi="Arial" w:cs="Arial"/>
          <w:color w:val="002060"/>
          <w:sz w:val="20"/>
          <w:szCs w:val="20"/>
          <w:lang w:val="es-ES"/>
        </w:rPr>
      </w:pPr>
      <w:r w:rsidRPr="008E1F22">
        <w:rPr>
          <w:rFonts w:ascii="Arial" w:eastAsia="Arial" w:hAnsi="Arial" w:cs="Arial"/>
          <w:b/>
          <w:color w:val="002060"/>
          <w:sz w:val="20"/>
          <w:szCs w:val="20"/>
          <w:lang w:val="es-ES"/>
        </w:rPr>
        <w:t>Salud y seguridad</w:t>
      </w:r>
      <w:r w:rsidRPr="008E1F22">
        <w:rPr>
          <w:rFonts w:ascii="Arial" w:eastAsia="Arial" w:hAnsi="Arial" w:cs="Arial"/>
          <w:color w:val="002060"/>
          <w:sz w:val="20"/>
          <w:szCs w:val="20"/>
          <w:lang w:val="es-ES"/>
        </w:rPr>
        <w:t xml:space="preserve">. </w:t>
      </w:r>
      <w:r w:rsidR="00B05B70" w:rsidRPr="008E1F22">
        <w:rPr>
          <w:rFonts w:ascii="Arial" w:eastAsia="Arial" w:hAnsi="Arial" w:cs="Arial"/>
          <w:color w:val="002060"/>
          <w:sz w:val="20"/>
          <w:szCs w:val="20"/>
          <w:lang w:val="es-ES"/>
        </w:rPr>
        <w:t xml:space="preserve">Si bien las condiciones de </w:t>
      </w:r>
      <w:proofErr w:type="gramStart"/>
      <w:r w:rsidR="00B05B70" w:rsidRPr="008E1F22">
        <w:rPr>
          <w:rFonts w:ascii="Arial" w:eastAsia="Arial" w:hAnsi="Arial" w:cs="Arial"/>
          <w:color w:val="002060"/>
          <w:sz w:val="20"/>
          <w:szCs w:val="20"/>
          <w:lang w:val="es-ES"/>
        </w:rPr>
        <w:t>trabajo seguras y saludables</w:t>
      </w:r>
      <w:proofErr w:type="gramEnd"/>
      <w:r w:rsidR="00B05B70" w:rsidRPr="008E1F22">
        <w:rPr>
          <w:rFonts w:ascii="Arial" w:eastAsia="Arial" w:hAnsi="Arial" w:cs="Arial"/>
          <w:color w:val="002060"/>
          <w:sz w:val="20"/>
          <w:szCs w:val="20"/>
          <w:lang w:val="es-ES"/>
        </w:rPr>
        <w:t xml:space="preserve"> están incluidas en los instrumentos internacionales de derechos humanos enumerados en el punto 1, Parte I del Anexo, el punto 2 que enumera los instrumentos específicos es más limitado. En concreto, los instrumentos de la OIT pertinentes en la materia</w:t>
      </w:r>
      <w:r w:rsidRPr="008E1F22">
        <w:rPr>
          <w:rFonts w:ascii="Arial" w:eastAsia="Arial" w:hAnsi="Arial" w:cs="Arial"/>
          <w:color w:val="002060"/>
          <w:sz w:val="20"/>
          <w:szCs w:val="20"/>
          <w:lang w:val="es-ES"/>
        </w:rPr>
        <w:t xml:space="preserve"> no están incluidos</w:t>
      </w:r>
      <w:r w:rsidR="00B05B70" w:rsidRPr="008E1F22">
        <w:rPr>
          <w:rFonts w:ascii="Arial" w:eastAsia="Arial" w:hAnsi="Arial" w:cs="Arial"/>
          <w:color w:val="002060"/>
          <w:sz w:val="20"/>
          <w:szCs w:val="20"/>
          <w:lang w:val="es-ES"/>
        </w:rPr>
        <w:t xml:space="preserve">: el Convenio sobre seguridad y salud de los trabajadores (n.155) y el Marco promocional para la seguridad y salud en el trabajo (n.187), a pesar de que ambos forman parte ahora de los instrumentos fundamentales de la OIT. </w:t>
      </w:r>
      <w:r w:rsidR="008E1F22" w:rsidRPr="008E1F22">
        <w:rPr>
          <w:rFonts w:ascii="Arial" w:eastAsia="Arial" w:hAnsi="Arial" w:cs="Arial"/>
          <w:color w:val="002060"/>
          <w:sz w:val="20"/>
          <w:szCs w:val="20"/>
          <w:lang w:val="es-ES"/>
        </w:rPr>
        <w:t>Hacemos u</w:t>
      </w:r>
      <w:r w:rsidR="00B05B70" w:rsidRPr="008E1F22">
        <w:rPr>
          <w:rFonts w:ascii="Arial" w:eastAsia="Arial" w:hAnsi="Arial" w:cs="Arial"/>
          <w:color w:val="002060"/>
          <w:sz w:val="20"/>
          <w:szCs w:val="20"/>
          <w:lang w:val="es-ES"/>
        </w:rPr>
        <w:t xml:space="preserve">n llamamiento a todos los Estados miembros para que ratifiquen esos dos textos a fin de que puedan añadirse sin demora al marco de la </w:t>
      </w:r>
      <w:r w:rsidRPr="008E1F22">
        <w:rPr>
          <w:rFonts w:ascii="Arial" w:eastAsia="Arial" w:hAnsi="Arial" w:cs="Arial"/>
          <w:color w:val="002060"/>
          <w:sz w:val="20"/>
          <w:szCs w:val="20"/>
          <w:lang w:val="es-ES"/>
        </w:rPr>
        <w:t>CSDDD</w:t>
      </w:r>
    </w:p>
    <w:p w14:paraId="5B244414" w14:textId="77777777" w:rsidR="009C5538" w:rsidRPr="00B05B70" w:rsidRDefault="009C5538" w:rsidP="009C5538">
      <w:pPr>
        <w:pBdr>
          <w:top w:val="nil"/>
          <w:left w:val="nil"/>
          <w:bottom w:val="nil"/>
          <w:right w:val="nil"/>
          <w:between w:val="nil"/>
        </w:pBdr>
        <w:spacing w:after="0"/>
        <w:rPr>
          <w:rFonts w:ascii="Arial" w:eastAsia="Arial" w:hAnsi="Arial" w:cs="Arial"/>
          <w:color w:val="0070C0"/>
          <w:sz w:val="20"/>
          <w:szCs w:val="20"/>
          <w:lang w:val="es-ES"/>
        </w:rPr>
      </w:pPr>
    </w:p>
    <w:p w14:paraId="62D3A437" w14:textId="27D71E6C" w:rsidR="00B05B70" w:rsidRPr="008E1F22" w:rsidRDefault="009C5538" w:rsidP="008E1F22">
      <w:pPr>
        <w:pStyle w:val="Prrafodelista"/>
        <w:numPr>
          <w:ilvl w:val="0"/>
          <w:numId w:val="7"/>
        </w:numPr>
        <w:pBdr>
          <w:top w:val="nil"/>
          <w:left w:val="nil"/>
          <w:bottom w:val="nil"/>
          <w:right w:val="nil"/>
          <w:between w:val="nil"/>
        </w:pBdr>
        <w:rPr>
          <w:rFonts w:ascii="Arial" w:eastAsia="Arial" w:hAnsi="Arial" w:cs="Arial"/>
          <w:color w:val="002060"/>
          <w:sz w:val="20"/>
          <w:szCs w:val="20"/>
          <w:lang w:val="es-ES"/>
        </w:rPr>
      </w:pPr>
      <w:r w:rsidRPr="008E1F22">
        <w:rPr>
          <w:rFonts w:ascii="Arial" w:eastAsia="Arial" w:hAnsi="Arial" w:cs="Arial"/>
          <w:b/>
          <w:color w:val="002060"/>
          <w:sz w:val="20"/>
          <w:szCs w:val="20"/>
          <w:lang w:val="es-ES"/>
        </w:rPr>
        <w:t>Responsabilidad</w:t>
      </w:r>
      <w:r w:rsidRPr="008E1F22">
        <w:rPr>
          <w:rFonts w:ascii="Arial" w:eastAsia="Arial" w:hAnsi="Arial" w:cs="Arial"/>
          <w:color w:val="002060"/>
          <w:sz w:val="20"/>
          <w:szCs w:val="20"/>
          <w:lang w:val="es-ES"/>
        </w:rPr>
        <w:t xml:space="preserve">. </w:t>
      </w:r>
      <w:r w:rsidR="00B05B70" w:rsidRPr="008E1F22">
        <w:rPr>
          <w:rFonts w:ascii="Arial" w:eastAsia="Arial" w:hAnsi="Arial" w:cs="Arial"/>
          <w:color w:val="002060"/>
          <w:sz w:val="20"/>
          <w:szCs w:val="20"/>
          <w:lang w:val="es-ES"/>
        </w:rPr>
        <w:t>El acuerdo final no incluye disposiciones cruciales para que las víctimas puedan acceder a la justicia en los tribunales europeos, lo que dificultará que los</w:t>
      </w:r>
      <w:r w:rsidRPr="008E1F22">
        <w:rPr>
          <w:rFonts w:ascii="Arial" w:eastAsia="Arial" w:hAnsi="Arial" w:cs="Arial"/>
          <w:color w:val="002060"/>
          <w:sz w:val="20"/>
          <w:szCs w:val="20"/>
          <w:lang w:val="es-ES"/>
        </w:rPr>
        <w:t>/as</w:t>
      </w:r>
      <w:r w:rsidR="00B05B70" w:rsidRPr="008E1F22">
        <w:rPr>
          <w:rFonts w:ascii="Arial" w:eastAsia="Arial" w:hAnsi="Arial" w:cs="Arial"/>
          <w:color w:val="002060"/>
          <w:sz w:val="20"/>
          <w:szCs w:val="20"/>
          <w:lang w:val="es-ES"/>
        </w:rPr>
        <w:t xml:space="preserve"> trabajadores</w:t>
      </w:r>
      <w:r w:rsidRPr="008E1F22">
        <w:rPr>
          <w:rFonts w:ascii="Arial" w:eastAsia="Arial" w:hAnsi="Arial" w:cs="Arial"/>
          <w:color w:val="002060"/>
          <w:sz w:val="20"/>
          <w:szCs w:val="20"/>
          <w:lang w:val="es-ES"/>
        </w:rPr>
        <w:t xml:space="preserve">/as, </w:t>
      </w:r>
      <w:r w:rsidR="00B05B70" w:rsidRPr="008E1F22">
        <w:rPr>
          <w:rFonts w:ascii="Arial" w:eastAsia="Arial" w:hAnsi="Arial" w:cs="Arial"/>
          <w:color w:val="002060"/>
          <w:sz w:val="20"/>
          <w:szCs w:val="20"/>
          <w:lang w:val="es-ES"/>
        </w:rPr>
        <w:t>pueblos indígenas y otras víctimas potenciales utilicen el mecanismo de responsabilidad civil incluido en la ley.</w:t>
      </w:r>
    </w:p>
    <w:p w14:paraId="57C2421B" w14:textId="5FF799B2" w:rsidR="009C5538" w:rsidRPr="008E1F22" w:rsidRDefault="009C5538" w:rsidP="009C5538">
      <w:pPr>
        <w:rPr>
          <w:b/>
          <w:color w:val="002060"/>
          <w:sz w:val="24"/>
          <w:szCs w:val="24"/>
          <w:lang w:val="es-ES"/>
        </w:rPr>
      </w:pPr>
      <w:r w:rsidRPr="008E1F22">
        <w:rPr>
          <w:b/>
          <w:color w:val="002060"/>
          <w:sz w:val="24"/>
          <w:szCs w:val="24"/>
          <w:lang w:val="es-ES"/>
        </w:rPr>
        <w:t>¿Cómo pueden las empresas garantizar la seguridad y los derechos de las trabajadoras de sus cadenas de valor?</w:t>
      </w:r>
    </w:p>
    <w:p w14:paraId="690321F7" w14:textId="0F776D54" w:rsidR="009C5538" w:rsidRPr="008E1F22" w:rsidRDefault="008E1F22" w:rsidP="008E1F22">
      <w:pPr>
        <w:pStyle w:val="Prrafodelista"/>
        <w:numPr>
          <w:ilvl w:val="0"/>
          <w:numId w:val="7"/>
        </w:numPr>
        <w:rPr>
          <w:rFonts w:ascii="Arial" w:eastAsia="Arial" w:hAnsi="Arial" w:cs="Arial"/>
          <w:color w:val="002060"/>
          <w:sz w:val="20"/>
          <w:szCs w:val="20"/>
          <w:lang w:val="es-ES"/>
        </w:rPr>
      </w:pPr>
      <w:r w:rsidRPr="008E1F22">
        <w:rPr>
          <w:rFonts w:ascii="Arial" w:eastAsia="Arial" w:hAnsi="Arial" w:cs="Arial"/>
          <w:b/>
          <w:color w:val="002060"/>
          <w:sz w:val="20"/>
          <w:szCs w:val="20"/>
          <w:lang w:val="es-ES"/>
        </w:rPr>
        <w:t>Partes interesadas</w:t>
      </w:r>
      <w:r>
        <w:rPr>
          <w:rFonts w:ascii="Arial" w:eastAsia="Arial" w:hAnsi="Arial" w:cs="Arial"/>
          <w:color w:val="002060"/>
          <w:sz w:val="20"/>
          <w:szCs w:val="20"/>
          <w:lang w:val="es-ES"/>
        </w:rPr>
        <w:t xml:space="preserve">. </w:t>
      </w:r>
      <w:r w:rsidR="009C5538" w:rsidRPr="008E1F22">
        <w:rPr>
          <w:rFonts w:ascii="Arial" w:eastAsia="Arial" w:hAnsi="Arial" w:cs="Arial"/>
          <w:color w:val="002060"/>
          <w:sz w:val="20"/>
          <w:szCs w:val="20"/>
          <w:lang w:val="es-ES"/>
        </w:rPr>
        <w:t xml:space="preserve">Una vez que entre en vigor la Directiva, las empresas tendrán la obligación de comprometerse con las partes interesadas a lo largo de sus cadenas de valor, incluidos los/as trabajadores/as y sus representantes. Hacemos un llamamiento a las marcas para que se comprometan directamente con </w:t>
      </w:r>
      <w:r>
        <w:rPr>
          <w:rFonts w:ascii="Arial" w:eastAsia="Arial" w:hAnsi="Arial" w:cs="Arial"/>
          <w:color w:val="002060"/>
          <w:sz w:val="20"/>
          <w:szCs w:val="20"/>
          <w:lang w:val="es-ES"/>
        </w:rPr>
        <w:t>estas partes interesadas</w:t>
      </w:r>
      <w:r w:rsidR="009C5538" w:rsidRPr="008E1F22">
        <w:rPr>
          <w:rFonts w:ascii="Arial" w:eastAsia="Arial" w:hAnsi="Arial" w:cs="Arial"/>
          <w:color w:val="002060"/>
          <w:sz w:val="20"/>
          <w:szCs w:val="20"/>
          <w:lang w:val="es-ES"/>
        </w:rPr>
        <w:t>, en lugar de depender de terceros como certificadores, auditores e iniciativas voluntarias de múltiples partes interesadas que proporcionan falsas soluciones (a un coste) y no son las herramientas adecuadas para garantizar que se mitigan y remedian los impactos negativos.</w:t>
      </w:r>
    </w:p>
    <w:p w14:paraId="60245502" w14:textId="36477DF1" w:rsidR="009C5538" w:rsidRPr="008E1F22" w:rsidRDefault="008E1F22" w:rsidP="008E1F22">
      <w:pPr>
        <w:pStyle w:val="Prrafodelista"/>
        <w:numPr>
          <w:ilvl w:val="0"/>
          <w:numId w:val="7"/>
        </w:numPr>
        <w:rPr>
          <w:rFonts w:ascii="Arial" w:eastAsia="Arial" w:hAnsi="Arial" w:cs="Arial"/>
          <w:color w:val="002060"/>
          <w:sz w:val="20"/>
          <w:szCs w:val="20"/>
          <w:lang w:val="es-ES"/>
        </w:rPr>
      </w:pPr>
      <w:r w:rsidRPr="008E1F22">
        <w:rPr>
          <w:rFonts w:ascii="Arial" w:eastAsia="Arial" w:hAnsi="Arial" w:cs="Arial"/>
          <w:b/>
          <w:color w:val="002060"/>
          <w:sz w:val="20"/>
          <w:szCs w:val="20"/>
          <w:lang w:val="es-ES"/>
        </w:rPr>
        <w:t>Acuerdos vinculantes</w:t>
      </w:r>
      <w:r>
        <w:rPr>
          <w:rFonts w:ascii="Arial" w:eastAsia="Arial" w:hAnsi="Arial" w:cs="Arial"/>
          <w:color w:val="002060"/>
          <w:sz w:val="20"/>
          <w:szCs w:val="20"/>
          <w:lang w:val="es-ES"/>
        </w:rPr>
        <w:t xml:space="preserve">. </w:t>
      </w:r>
      <w:r w:rsidR="00A51477" w:rsidRPr="008E1F22">
        <w:rPr>
          <w:rFonts w:ascii="Arial" w:eastAsia="Arial" w:hAnsi="Arial" w:cs="Arial"/>
          <w:color w:val="002060"/>
          <w:sz w:val="20"/>
          <w:szCs w:val="20"/>
          <w:lang w:val="es-ES"/>
        </w:rPr>
        <w:t>Sin necesidad de esperar la entrada en vigor de la directiva, pueden a</w:t>
      </w:r>
      <w:r w:rsidR="009C5538" w:rsidRPr="008E1F22">
        <w:rPr>
          <w:rFonts w:ascii="Arial" w:eastAsia="Arial" w:hAnsi="Arial" w:cs="Arial"/>
          <w:color w:val="002060"/>
          <w:sz w:val="20"/>
          <w:szCs w:val="20"/>
          <w:lang w:val="es-ES"/>
        </w:rPr>
        <w:t xml:space="preserve">dherirse </w:t>
      </w:r>
      <w:r w:rsidR="00A51477" w:rsidRPr="008E1F22">
        <w:rPr>
          <w:rFonts w:ascii="Arial" w:eastAsia="Arial" w:hAnsi="Arial" w:cs="Arial"/>
          <w:color w:val="002060"/>
          <w:sz w:val="20"/>
          <w:szCs w:val="20"/>
          <w:lang w:val="es-ES"/>
        </w:rPr>
        <w:t xml:space="preserve">ya </w:t>
      </w:r>
      <w:r w:rsidR="009C5538" w:rsidRPr="008E1F22">
        <w:rPr>
          <w:rFonts w:ascii="Arial" w:eastAsia="Arial" w:hAnsi="Arial" w:cs="Arial"/>
          <w:color w:val="002060"/>
          <w:sz w:val="20"/>
          <w:szCs w:val="20"/>
          <w:lang w:val="es-ES"/>
        </w:rPr>
        <w:t>a acuerdos vinculantes ejecutables y a mecanismos dirigidos por los</w:t>
      </w:r>
      <w:r>
        <w:rPr>
          <w:rFonts w:ascii="Arial" w:eastAsia="Arial" w:hAnsi="Arial" w:cs="Arial"/>
          <w:color w:val="002060"/>
          <w:sz w:val="20"/>
          <w:szCs w:val="20"/>
          <w:lang w:val="es-ES"/>
        </w:rPr>
        <w:t>/as</w:t>
      </w:r>
      <w:r w:rsidR="009C5538" w:rsidRPr="008E1F22">
        <w:rPr>
          <w:rFonts w:ascii="Arial" w:eastAsia="Arial" w:hAnsi="Arial" w:cs="Arial"/>
          <w:color w:val="002060"/>
          <w:sz w:val="20"/>
          <w:szCs w:val="20"/>
          <w:lang w:val="es-ES"/>
        </w:rPr>
        <w:t xml:space="preserve"> trabajadores</w:t>
      </w:r>
      <w:r>
        <w:rPr>
          <w:rFonts w:ascii="Arial" w:eastAsia="Arial" w:hAnsi="Arial" w:cs="Arial"/>
          <w:color w:val="002060"/>
          <w:sz w:val="20"/>
          <w:szCs w:val="20"/>
          <w:lang w:val="es-ES"/>
        </w:rPr>
        <w:t>/as</w:t>
      </w:r>
      <w:r w:rsidR="009C5538" w:rsidRPr="008E1F22">
        <w:rPr>
          <w:rFonts w:ascii="Arial" w:eastAsia="Arial" w:hAnsi="Arial" w:cs="Arial"/>
          <w:color w:val="002060"/>
          <w:sz w:val="20"/>
          <w:szCs w:val="20"/>
          <w:lang w:val="es-ES"/>
        </w:rPr>
        <w:t xml:space="preserve">, como el Acuerdo Internacional sobre seguridad o el Acuerdo </w:t>
      </w:r>
      <w:proofErr w:type="spellStart"/>
      <w:r w:rsidR="009C5538" w:rsidRPr="008E1F22">
        <w:rPr>
          <w:rFonts w:ascii="Arial" w:eastAsia="Arial" w:hAnsi="Arial" w:cs="Arial"/>
          <w:i/>
          <w:color w:val="002060"/>
          <w:sz w:val="20"/>
          <w:szCs w:val="20"/>
          <w:lang w:val="es-ES"/>
        </w:rPr>
        <w:t>Pay</w:t>
      </w:r>
      <w:proofErr w:type="spellEnd"/>
      <w:r w:rsidR="009C5538" w:rsidRPr="008E1F22">
        <w:rPr>
          <w:rFonts w:ascii="Arial" w:eastAsia="Arial" w:hAnsi="Arial" w:cs="Arial"/>
          <w:i/>
          <w:color w:val="002060"/>
          <w:sz w:val="20"/>
          <w:szCs w:val="20"/>
          <w:lang w:val="es-ES"/>
        </w:rPr>
        <w:t xml:space="preserve"> </w:t>
      </w:r>
      <w:proofErr w:type="spellStart"/>
      <w:r w:rsidR="009C5538" w:rsidRPr="008E1F22">
        <w:rPr>
          <w:rFonts w:ascii="Arial" w:eastAsia="Arial" w:hAnsi="Arial" w:cs="Arial"/>
          <w:i/>
          <w:color w:val="002060"/>
          <w:sz w:val="20"/>
          <w:szCs w:val="20"/>
          <w:lang w:val="es-ES"/>
        </w:rPr>
        <w:t>Your</w:t>
      </w:r>
      <w:proofErr w:type="spellEnd"/>
      <w:r w:rsidR="009C5538" w:rsidRPr="008E1F22">
        <w:rPr>
          <w:rFonts w:ascii="Arial" w:eastAsia="Arial" w:hAnsi="Arial" w:cs="Arial"/>
          <w:i/>
          <w:color w:val="002060"/>
          <w:sz w:val="20"/>
          <w:szCs w:val="20"/>
          <w:lang w:val="es-ES"/>
        </w:rPr>
        <w:t xml:space="preserve"> </w:t>
      </w:r>
      <w:proofErr w:type="spellStart"/>
      <w:r w:rsidR="009C5538" w:rsidRPr="008E1F22">
        <w:rPr>
          <w:rFonts w:ascii="Arial" w:eastAsia="Arial" w:hAnsi="Arial" w:cs="Arial"/>
          <w:i/>
          <w:color w:val="002060"/>
          <w:sz w:val="20"/>
          <w:szCs w:val="20"/>
          <w:lang w:val="es-ES"/>
        </w:rPr>
        <w:t>Workers</w:t>
      </w:r>
      <w:proofErr w:type="spellEnd"/>
      <w:r w:rsidR="009C5538" w:rsidRPr="008E1F22">
        <w:rPr>
          <w:rFonts w:ascii="Arial" w:eastAsia="Arial" w:hAnsi="Arial" w:cs="Arial"/>
          <w:color w:val="002060"/>
          <w:sz w:val="20"/>
          <w:szCs w:val="20"/>
          <w:lang w:val="es-ES"/>
        </w:rPr>
        <w:t xml:space="preserve"> sobre indemnizaciones y libertad sindical</w:t>
      </w:r>
      <w:r w:rsidR="00A51477" w:rsidRPr="008E1F22">
        <w:rPr>
          <w:rFonts w:ascii="Arial" w:eastAsia="Arial" w:hAnsi="Arial" w:cs="Arial"/>
          <w:color w:val="002060"/>
          <w:sz w:val="20"/>
          <w:szCs w:val="20"/>
          <w:lang w:val="es-ES"/>
        </w:rPr>
        <w:t xml:space="preserve">. Ambos acuerdos </w:t>
      </w:r>
      <w:r>
        <w:rPr>
          <w:rFonts w:ascii="Arial" w:eastAsia="Arial" w:hAnsi="Arial" w:cs="Arial"/>
          <w:color w:val="002060"/>
          <w:sz w:val="20"/>
          <w:szCs w:val="20"/>
          <w:lang w:val="es-ES"/>
        </w:rPr>
        <w:t xml:space="preserve">tienen como objetivo proteger los derechos de las trabajadoras </w:t>
      </w:r>
      <w:r w:rsidR="009C5538" w:rsidRPr="008E1F22">
        <w:rPr>
          <w:rFonts w:ascii="Arial" w:eastAsia="Arial" w:hAnsi="Arial" w:cs="Arial"/>
          <w:color w:val="002060"/>
          <w:sz w:val="20"/>
          <w:szCs w:val="20"/>
          <w:lang w:val="es-ES"/>
        </w:rPr>
        <w:t>en</w:t>
      </w:r>
      <w:r w:rsidR="00A51477" w:rsidRPr="008E1F22">
        <w:rPr>
          <w:rFonts w:ascii="Arial" w:eastAsia="Arial" w:hAnsi="Arial" w:cs="Arial"/>
          <w:color w:val="002060"/>
          <w:sz w:val="20"/>
          <w:szCs w:val="20"/>
          <w:lang w:val="es-ES"/>
        </w:rPr>
        <w:t xml:space="preserve"> las</w:t>
      </w:r>
      <w:r w:rsidR="009C5538" w:rsidRPr="008E1F22">
        <w:rPr>
          <w:rFonts w:ascii="Arial" w:eastAsia="Arial" w:hAnsi="Arial" w:cs="Arial"/>
          <w:color w:val="002060"/>
          <w:sz w:val="20"/>
          <w:szCs w:val="20"/>
          <w:lang w:val="es-ES"/>
        </w:rPr>
        <w:t xml:space="preserve"> cadenas de valor.</w:t>
      </w:r>
    </w:p>
    <w:p w14:paraId="7003AB30" w14:textId="77777777" w:rsidR="00A51477" w:rsidRPr="008E1F22" w:rsidRDefault="00A51477" w:rsidP="00A51477">
      <w:pPr>
        <w:rPr>
          <w:b/>
          <w:color w:val="002060"/>
          <w:sz w:val="24"/>
          <w:szCs w:val="24"/>
          <w:lang w:val="es-ES"/>
        </w:rPr>
      </w:pPr>
      <w:r w:rsidRPr="008E1F22">
        <w:rPr>
          <w:b/>
          <w:color w:val="002060"/>
          <w:sz w:val="24"/>
          <w:szCs w:val="24"/>
          <w:lang w:val="es-ES"/>
        </w:rPr>
        <w:t>¿Cómo apoya la legislación sobre la cadena de suministro la libertad de asociación en Bangladesh?</w:t>
      </w:r>
    </w:p>
    <w:p w14:paraId="3D5FE827" w14:textId="4D987986" w:rsidR="00A51477" w:rsidRPr="008E1F22" w:rsidRDefault="008E1F22" w:rsidP="008E1F22">
      <w:pPr>
        <w:pStyle w:val="Prrafodelista"/>
        <w:numPr>
          <w:ilvl w:val="0"/>
          <w:numId w:val="7"/>
        </w:numPr>
        <w:rPr>
          <w:rFonts w:ascii="Arial" w:eastAsia="Arial" w:hAnsi="Arial" w:cs="Arial"/>
          <w:b/>
          <w:color w:val="002060"/>
          <w:sz w:val="20"/>
          <w:szCs w:val="20"/>
          <w:lang w:val="es-ES"/>
        </w:rPr>
      </w:pPr>
      <w:r w:rsidRPr="008E1F22">
        <w:rPr>
          <w:rFonts w:ascii="Arial" w:eastAsia="Arial" w:hAnsi="Arial" w:cs="Arial"/>
          <w:b/>
          <w:color w:val="002060"/>
          <w:sz w:val="20"/>
          <w:szCs w:val="20"/>
          <w:lang w:val="es-ES"/>
        </w:rPr>
        <w:t xml:space="preserve">Libertad de asociación en Bangladesh. </w:t>
      </w:r>
      <w:r w:rsidR="00A51477" w:rsidRPr="008E1F22">
        <w:rPr>
          <w:rFonts w:ascii="Arial" w:eastAsia="Arial" w:hAnsi="Arial" w:cs="Arial"/>
          <w:color w:val="002060"/>
          <w:sz w:val="20"/>
          <w:szCs w:val="20"/>
          <w:lang w:val="es-ES"/>
        </w:rPr>
        <w:t>Las restricciones a la libertad de asociación y a la negociación colectiva son un riesgo extremadamente común y un impacto sobre los derechos humanos en la cadena de suministro de la confección, y en Bangladesh en particular. Las empresas que operan en el mercado de la UE deben garantizar el respeto de los derechos de los trabajadores</w:t>
      </w:r>
      <w:r>
        <w:rPr>
          <w:rFonts w:ascii="Arial" w:eastAsia="Arial" w:hAnsi="Arial" w:cs="Arial"/>
          <w:color w:val="002060"/>
          <w:sz w:val="20"/>
          <w:szCs w:val="20"/>
          <w:lang w:val="es-ES"/>
        </w:rPr>
        <w:t xml:space="preserve"> y las trabajadoras</w:t>
      </w:r>
      <w:r w:rsidR="00A51477" w:rsidRPr="008E1F22">
        <w:rPr>
          <w:rFonts w:ascii="Arial" w:eastAsia="Arial" w:hAnsi="Arial" w:cs="Arial"/>
          <w:color w:val="002060"/>
          <w:sz w:val="20"/>
          <w:szCs w:val="20"/>
          <w:lang w:val="es-ES"/>
        </w:rPr>
        <w:t>. Esto puede incluir exigir a sus filiales, proveedores y suministradores indirectos que ofrezcan garantías de que se respeta la libertad de asociación, aprovechar su influencia para impulsar el reconocimiento de los sindicatos y negociar y firmar Convenios Colectivos de Trabajo (CCT) o comprometerse directamente con los sindicatos y las organizaciones de defensa de los derechos laborales en caso de medidas de prevención, mitigación y reparación</w:t>
      </w:r>
      <w:r w:rsidR="00A51477" w:rsidRPr="008E1F22">
        <w:rPr>
          <w:rFonts w:ascii="Arial" w:eastAsia="Arial" w:hAnsi="Arial" w:cs="Arial"/>
          <w:b/>
          <w:color w:val="002060"/>
          <w:sz w:val="20"/>
          <w:szCs w:val="20"/>
          <w:lang w:val="es-ES"/>
        </w:rPr>
        <w:t>.</w:t>
      </w:r>
    </w:p>
    <w:p w14:paraId="00000029" w14:textId="19F395EB" w:rsidR="0024799D" w:rsidRPr="00A51477" w:rsidRDefault="00A51477" w:rsidP="001E0D1F">
      <w:pPr>
        <w:pStyle w:val="NormalWeb"/>
        <w:rPr>
          <w:rFonts w:ascii="Arial" w:eastAsia="Arial" w:hAnsi="Arial" w:cs="Arial"/>
          <w:color w:val="000000"/>
          <w:sz w:val="20"/>
          <w:szCs w:val="20"/>
        </w:rPr>
      </w:pPr>
      <w:r w:rsidRPr="008E1F22">
        <w:rPr>
          <w:rFonts w:asciiTheme="minorHAnsi" w:hAnsiTheme="minorHAnsi" w:cstheme="minorHAnsi"/>
          <w:color w:val="002060"/>
          <w:sz w:val="20"/>
          <w:szCs w:val="20"/>
        </w:rPr>
        <w:t xml:space="preserve">En 2021, </w:t>
      </w:r>
      <w:r w:rsidRPr="008E1F22">
        <w:rPr>
          <w:rFonts w:asciiTheme="minorHAnsi" w:hAnsiTheme="minorHAnsi" w:cstheme="minorHAnsi"/>
          <w:color w:val="002060"/>
          <w:sz w:val="20"/>
          <w:szCs w:val="20"/>
        </w:rPr>
        <w:t>la Campaña Ropa Limpia internacional (</w:t>
      </w:r>
      <w:r w:rsidRPr="008E1F22">
        <w:rPr>
          <w:rFonts w:asciiTheme="minorHAnsi" w:hAnsiTheme="minorHAnsi" w:cstheme="minorHAnsi"/>
          <w:color w:val="002060"/>
          <w:sz w:val="20"/>
          <w:szCs w:val="20"/>
        </w:rPr>
        <w:t>Clean Clothes Campaign</w:t>
      </w:r>
      <w:r w:rsidRPr="008E1F22">
        <w:rPr>
          <w:rFonts w:asciiTheme="minorHAnsi" w:hAnsiTheme="minorHAnsi" w:cstheme="minorHAnsi"/>
          <w:color w:val="002060"/>
          <w:sz w:val="20"/>
          <w:szCs w:val="20"/>
        </w:rPr>
        <w:t>)</w:t>
      </w:r>
      <w:r w:rsidRPr="008E1F22">
        <w:rPr>
          <w:rFonts w:asciiTheme="minorHAnsi" w:hAnsiTheme="minorHAnsi" w:cstheme="minorHAnsi"/>
          <w:color w:val="002060"/>
          <w:sz w:val="20"/>
          <w:szCs w:val="20"/>
        </w:rPr>
        <w:t xml:space="preserve">, </w:t>
      </w:r>
      <w:proofErr w:type="spellStart"/>
      <w:r w:rsidRPr="008E1F22">
        <w:rPr>
          <w:rFonts w:asciiTheme="minorHAnsi" w:hAnsiTheme="minorHAnsi" w:cstheme="minorHAnsi"/>
          <w:color w:val="002060"/>
          <w:sz w:val="20"/>
          <w:szCs w:val="20"/>
        </w:rPr>
        <w:t>European</w:t>
      </w:r>
      <w:proofErr w:type="spellEnd"/>
      <w:r w:rsidRPr="008E1F22">
        <w:rPr>
          <w:rFonts w:asciiTheme="minorHAnsi" w:hAnsiTheme="minorHAnsi" w:cstheme="minorHAnsi"/>
          <w:color w:val="002060"/>
          <w:sz w:val="20"/>
          <w:szCs w:val="20"/>
        </w:rPr>
        <w:t xml:space="preserve"> Center </w:t>
      </w:r>
      <w:proofErr w:type="spellStart"/>
      <w:r w:rsidRPr="008E1F22">
        <w:rPr>
          <w:rFonts w:asciiTheme="minorHAnsi" w:hAnsiTheme="minorHAnsi" w:cstheme="minorHAnsi"/>
          <w:color w:val="002060"/>
          <w:sz w:val="20"/>
          <w:szCs w:val="20"/>
        </w:rPr>
        <w:t>for</w:t>
      </w:r>
      <w:proofErr w:type="spellEnd"/>
      <w:r w:rsidRPr="008E1F22">
        <w:rPr>
          <w:rFonts w:asciiTheme="minorHAnsi" w:hAnsiTheme="minorHAnsi" w:cstheme="minorHAnsi"/>
          <w:color w:val="002060"/>
          <w:sz w:val="20"/>
          <w:szCs w:val="20"/>
        </w:rPr>
        <w:t xml:space="preserve"> </w:t>
      </w:r>
      <w:proofErr w:type="spellStart"/>
      <w:r w:rsidRPr="008E1F22">
        <w:rPr>
          <w:rFonts w:asciiTheme="minorHAnsi" w:hAnsiTheme="minorHAnsi" w:cstheme="minorHAnsi"/>
          <w:color w:val="002060"/>
          <w:sz w:val="20"/>
          <w:szCs w:val="20"/>
        </w:rPr>
        <w:t>Constitutional</w:t>
      </w:r>
      <w:proofErr w:type="spellEnd"/>
      <w:r w:rsidRPr="008E1F22">
        <w:rPr>
          <w:rFonts w:asciiTheme="minorHAnsi" w:hAnsiTheme="minorHAnsi" w:cstheme="minorHAnsi"/>
          <w:color w:val="002060"/>
          <w:sz w:val="20"/>
          <w:szCs w:val="20"/>
        </w:rPr>
        <w:t xml:space="preserve"> and Human </w:t>
      </w:r>
      <w:proofErr w:type="spellStart"/>
      <w:r w:rsidRPr="008E1F22">
        <w:rPr>
          <w:rFonts w:asciiTheme="minorHAnsi" w:hAnsiTheme="minorHAnsi" w:cstheme="minorHAnsi"/>
          <w:color w:val="002060"/>
          <w:sz w:val="20"/>
          <w:szCs w:val="20"/>
        </w:rPr>
        <w:t>Rights</w:t>
      </w:r>
      <w:proofErr w:type="spellEnd"/>
      <w:r w:rsidRPr="008E1F22">
        <w:rPr>
          <w:rFonts w:asciiTheme="minorHAnsi" w:hAnsiTheme="minorHAnsi" w:cstheme="minorHAnsi"/>
          <w:color w:val="002060"/>
          <w:sz w:val="20"/>
          <w:szCs w:val="20"/>
        </w:rPr>
        <w:t xml:space="preserve"> y </w:t>
      </w:r>
      <w:proofErr w:type="spellStart"/>
      <w:r w:rsidRPr="008E1F22">
        <w:rPr>
          <w:rFonts w:asciiTheme="minorHAnsi" w:hAnsiTheme="minorHAnsi" w:cstheme="minorHAnsi"/>
          <w:color w:val="002060"/>
          <w:sz w:val="20"/>
          <w:szCs w:val="20"/>
        </w:rPr>
        <w:t>Workers</w:t>
      </w:r>
      <w:proofErr w:type="spellEnd"/>
      <w:r w:rsidRPr="008E1F22">
        <w:rPr>
          <w:rFonts w:asciiTheme="minorHAnsi" w:hAnsiTheme="minorHAnsi" w:cstheme="minorHAnsi"/>
          <w:color w:val="002060"/>
          <w:sz w:val="20"/>
          <w:szCs w:val="20"/>
        </w:rPr>
        <w:t xml:space="preserve"> </w:t>
      </w:r>
      <w:proofErr w:type="spellStart"/>
      <w:r w:rsidRPr="008E1F22">
        <w:rPr>
          <w:rFonts w:asciiTheme="minorHAnsi" w:hAnsiTheme="minorHAnsi" w:cstheme="minorHAnsi"/>
          <w:color w:val="002060"/>
          <w:sz w:val="20"/>
          <w:szCs w:val="20"/>
        </w:rPr>
        <w:t>Rights</w:t>
      </w:r>
      <w:proofErr w:type="spellEnd"/>
      <w:r w:rsidRPr="008E1F22">
        <w:rPr>
          <w:rFonts w:asciiTheme="minorHAnsi" w:hAnsiTheme="minorHAnsi" w:cstheme="minorHAnsi"/>
          <w:color w:val="002060"/>
          <w:sz w:val="20"/>
          <w:szCs w:val="20"/>
        </w:rPr>
        <w:t xml:space="preserve"> </w:t>
      </w:r>
      <w:proofErr w:type="spellStart"/>
      <w:r w:rsidRPr="008E1F22">
        <w:rPr>
          <w:rFonts w:asciiTheme="minorHAnsi" w:hAnsiTheme="minorHAnsi" w:cstheme="minorHAnsi"/>
          <w:color w:val="002060"/>
          <w:sz w:val="20"/>
          <w:szCs w:val="20"/>
        </w:rPr>
        <w:t>Consortium</w:t>
      </w:r>
      <w:proofErr w:type="spellEnd"/>
      <w:r w:rsidRPr="008E1F22">
        <w:rPr>
          <w:rFonts w:asciiTheme="minorHAnsi" w:hAnsiTheme="minorHAnsi" w:cstheme="minorHAnsi"/>
          <w:color w:val="002060"/>
          <w:sz w:val="20"/>
          <w:szCs w:val="20"/>
        </w:rPr>
        <w:t xml:space="preserve"> publicaron un informe en el que se analizaba la responsabilidad legal de las marcas de ropa en virtud de la legislación vigente sobre la cadena de suministro en lo que respecta a la seguridad en incendios y edificios. Puede consultarse </w:t>
      </w:r>
      <w:hyperlink r:id="rId7" w:history="1">
        <w:r w:rsidRPr="00A51477">
          <w:rPr>
            <w:rFonts w:asciiTheme="minorHAnsi" w:hAnsiTheme="minorHAnsi" w:cstheme="minorHAnsi"/>
            <w:color w:val="0070C0"/>
            <w:sz w:val="20"/>
            <w:szCs w:val="20"/>
            <w:u w:val="single"/>
          </w:rPr>
          <w:t>aquí</w:t>
        </w:r>
      </w:hyperlink>
      <w:r w:rsidRPr="00A51477">
        <w:rPr>
          <w:rFonts w:asciiTheme="minorHAnsi" w:hAnsiTheme="minorHAnsi" w:cstheme="minorHAnsi"/>
          <w:color w:val="0070C0"/>
          <w:sz w:val="20"/>
          <w:szCs w:val="20"/>
        </w:rPr>
        <w:t>.</w:t>
      </w:r>
    </w:p>
    <w:sectPr w:rsidR="0024799D" w:rsidRPr="00A51477">
      <w:pgSz w:w="11906" w:h="16838"/>
      <w:pgMar w:top="1134" w:right="850" w:bottom="1134" w:left="1701"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1"/>
    <w:family w:val="swiss"/>
    <w:pitch w:val="variable"/>
  </w:font>
  <w:font w:name="Noto Sans CJK SC">
    <w:charset w:val="01"/>
    <w:family w:val="auto"/>
    <w:pitch w:val="variable"/>
  </w:font>
  <w:font w:name="FreeSans">
    <w:altName w:val="Times New Roman"/>
    <w:panose1 w:val="00000000000000000000"/>
    <w:charset w:val="00"/>
    <w:family w:val="roman"/>
    <w:notTrueType/>
    <w:pitch w:val="default"/>
  </w:font>
  <w:font w:name="Liberation Serif">
    <w:altName w:val="Times New Roman"/>
    <w:charset w:val="01"/>
    <w:family w:val="roman"/>
    <w:pitch w:val="variable"/>
  </w:font>
  <w:font w:name="Noto Serif CJK SC">
    <w:altName w:val="Times New Roman"/>
    <w:charset w:val="01"/>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B3ED9"/>
    <w:multiLevelType w:val="multilevel"/>
    <w:tmpl w:val="7CFE98FE"/>
    <w:lvl w:ilvl="0">
      <w:start w:val="1"/>
      <w:numFmt w:val="bullet"/>
      <w:lvlText w:val="●"/>
      <w:lvlJc w:val="left"/>
      <w:pPr>
        <w:ind w:left="709" w:hanging="359"/>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434D22B1"/>
    <w:multiLevelType w:val="multilevel"/>
    <w:tmpl w:val="4CCA7B1C"/>
    <w:lvl w:ilvl="0">
      <w:start w:val="1"/>
      <w:numFmt w:val="bullet"/>
      <w:lvlText w:val="●"/>
      <w:lvlJc w:val="left"/>
      <w:pPr>
        <w:ind w:left="709" w:hanging="359"/>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53B91AD6"/>
    <w:multiLevelType w:val="multilevel"/>
    <w:tmpl w:val="95989372"/>
    <w:lvl w:ilvl="0">
      <w:start w:val="1"/>
      <w:numFmt w:val="bullet"/>
      <w:lvlText w:val="●"/>
      <w:lvlJc w:val="left"/>
      <w:pPr>
        <w:ind w:left="709" w:hanging="359"/>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56D7441D"/>
    <w:multiLevelType w:val="hybridMultilevel"/>
    <w:tmpl w:val="796E0174"/>
    <w:lvl w:ilvl="0" w:tplc="37C2644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61D034D6"/>
    <w:multiLevelType w:val="multilevel"/>
    <w:tmpl w:val="855E04E8"/>
    <w:lvl w:ilvl="0">
      <w:start w:val="1"/>
      <w:numFmt w:val="bullet"/>
      <w:lvlText w:val="●"/>
      <w:lvlJc w:val="left"/>
      <w:pPr>
        <w:ind w:left="709" w:hanging="359"/>
      </w:pPr>
      <w:rPr>
        <w:rFonts w:ascii="Noto Sans Symbols" w:eastAsia="Noto Sans Symbols" w:hAnsi="Noto Sans Symbols" w:cs="Noto Sans Symbols"/>
        <w:color w:val="000000"/>
        <w:sz w:val="20"/>
        <w:szCs w:val="20"/>
      </w:rPr>
    </w:lvl>
    <w:lvl w:ilvl="1">
      <w:start w:val="1"/>
      <w:numFmt w:val="bullet"/>
      <w:lvlText w:val="●"/>
      <w:lvlJc w:val="left"/>
      <w:pPr>
        <w:ind w:left="1429" w:hanging="360"/>
      </w:pPr>
      <w:rPr>
        <w:rFonts w:ascii="Noto Sans Symbols" w:eastAsia="Noto Sans Symbols" w:hAnsi="Noto Sans Symbols" w:cs="Noto Sans Symbols"/>
        <w:color w:val="000000"/>
        <w:sz w:val="20"/>
        <w:szCs w:val="20"/>
      </w:rPr>
    </w:lvl>
    <w:lvl w:ilvl="2">
      <w:start w:val="1"/>
      <w:numFmt w:val="bullet"/>
      <w:lvlText w:val="●"/>
      <w:lvlJc w:val="left"/>
      <w:pPr>
        <w:ind w:left="2149" w:hanging="360"/>
      </w:pPr>
      <w:rPr>
        <w:rFonts w:ascii="Noto Sans Symbols" w:eastAsia="Noto Sans Symbols" w:hAnsi="Noto Sans Symbols" w:cs="Noto Sans Symbols"/>
        <w:color w:val="000000"/>
        <w:sz w:val="20"/>
        <w:szCs w:val="20"/>
      </w:rPr>
    </w:lvl>
    <w:lvl w:ilvl="3">
      <w:start w:val="1"/>
      <w:numFmt w:val="bullet"/>
      <w:lvlText w:val="●"/>
      <w:lvlJc w:val="left"/>
      <w:pPr>
        <w:ind w:left="2869" w:hanging="360"/>
      </w:pPr>
      <w:rPr>
        <w:rFonts w:ascii="Noto Sans Symbols" w:eastAsia="Noto Sans Symbols" w:hAnsi="Noto Sans Symbols" w:cs="Noto Sans Symbols"/>
        <w:color w:val="000000"/>
        <w:sz w:val="20"/>
        <w:szCs w:val="20"/>
      </w:rPr>
    </w:lvl>
    <w:lvl w:ilvl="4">
      <w:start w:val="1"/>
      <w:numFmt w:val="bullet"/>
      <w:lvlText w:val="●"/>
      <w:lvlJc w:val="left"/>
      <w:pPr>
        <w:ind w:left="3589" w:hanging="360"/>
      </w:pPr>
      <w:rPr>
        <w:rFonts w:ascii="Noto Sans Symbols" w:eastAsia="Noto Sans Symbols" w:hAnsi="Noto Sans Symbols" w:cs="Noto Sans Symbols"/>
        <w:color w:val="000000"/>
        <w:sz w:val="20"/>
        <w:szCs w:val="20"/>
      </w:rPr>
    </w:lvl>
    <w:lvl w:ilvl="5">
      <w:start w:val="1"/>
      <w:numFmt w:val="bullet"/>
      <w:lvlText w:val="●"/>
      <w:lvlJc w:val="left"/>
      <w:pPr>
        <w:ind w:left="4309" w:hanging="360"/>
      </w:pPr>
      <w:rPr>
        <w:rFonts w:ascii="Noto Sans Symbols" w:eastAsia="Noto Sans Symbols" w:hAnsi="Noto Sans Symbols" w:cs="Noto Sans Symbols"/>
        <w:color w:val="000000"/>
        <w:sz w:val="20"/>
        <w:szCs w:val="20"/>
      </w:rPr>
    </w:lvl>
    <w:lvl w:ilvl="6">
      <w:start w:val="1"/>
      <w:numFmt w:val="bullet"/>
      <w:lvlText w:val="●"/>
      <w:lvlJc w:val="left"/>
      <w:pPr>
        <w:ind w:left="5029" w:hanging="360"/>
      </w:pPr>
      <w:rPr>
        <w:rFonts w:ascii="Noto Sans Symbols" w:eastAsia="Noto Sans Symbols" w:hAnsi="Noto Sans Symbols" w:cs="Noto Sans Symbols"/>
        <w:color w:val="000000"/>
        <w:sz w:val="20"/>
        <w:szCs w:val="20"/>
      </w:rPr>
    </w:lvl>
    <w:lvl w:ilvl="7">
      <w:start w:val="1"/>
      <w:numFmt w:val="bullet"/>
      <w:lvlText w:val="●"/>
      <w:lvlJc w:val="left"/>
      <w:pPr>
        <w:ind w:left="5749" w:hanging="360"/>
      </w:pPr>
      <w:rPr>
        <w:rFonts w:ascii="Noto Sans Symbols" w:eastAsia="Noto Sans Symbols" w:hAnsi="Noto Sans Symbols" w:cs="Noto Sans Symbols"/>
        <w:color w:val="000000"/>
        <w:sz w:val="20"/>
        <w:szCs w:val="20"/>
      </w:rPr>
    </w:lvl>
    <w:lvl w:ilvl="8">
      <w:start w:val="1"/>
      <w:numFmt w:val="bullet"/>
      <w:lvlText w:val="●"/>
      <w:lvlJc w:val="left"/>
      <w:pPr>
        <w:ind w:left="6469" w:hanging="360"/>
      </w:pPr>
      <w:rPr>
        <w:rFonts w:ascii="Noto Sans Symbols" w:eastAsia="Noto Sans Symbols" w:hAnsi="Noto Sans Symbols" w:cs="Noto Sans Symbols"/>
        <w:color w:val="000000"/>
        <w:sz w:val="20"/>
        <w:szCs w:val="20"/>
      </w:rPr>
    </w:lvl>
  </w:abstractNum>
  <w:abstractNum w:abstractNumId="5">
    <w:nsid w:val="71D6608A"/>
    <w:multiLevelType w:val="multilevel"/>
    <w:tmpl w:val="D17C0362"/>
    <w:lvl w:ilvl="0">
      <w:start w:val="1"/>
      <w:numFmt w:val="bullet"/>
      <w:lvlText w:val="●"/>
      <w:lvlJc w:val="left"/>
      <w:pPr>
        <w:ind w:left="709" w:hanging="359"/>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7AA27795"/>
    <w:multiLevelType w:val="hybridMultilevel"/>
    <w:tmpl w:val="C8AE4016"/>
    <w:lvl w:ilvl="0" w:tplc="37C26442">
      <w:start w:val="1"/>
      <w:numFmt w:val="bullet"/>
      <w:lvlText w:val=""/>
      <w:lvlJc w:val="left"/>
      <w:pPr>
        <w:ind w:left="1070" w:hanging="360"/>
      </w:pPr>
      <w:rPr>
        <w:rFonts w:ascii="Symbol" w:hAnsi="Symbol" w:hint="default"/>
      </w:rPr>
    </w:lvl>
    <w:lvl w:ilvl="1" w:tplc="0C0A0003" w:tentative="1">
      <w:start w:val="1"/>
      <w:numFmt w:val="bullet"/>
      <w:lvlText w:val="o"/>
      <w:lvlJc w:val="left"/>
      <w:pPr>
        <w:ind w:left="1790" w:hanging="360"/>
      </w:pPr>
      <w:rPr>
        <w:rFonts w:ascii="Courier New" w:hAnsi="Courier New" w:cs="Courier New" w:hint="default"/>
      </w:rPr>
    </w:lvl>
    <w:lvl w:ilvl="2" w:tplc="0C0A0005" w:tentative="1">
      <w:start w:val="1"/>
      <w:numFmt w:val="bullet"/>
      <w:lvlText w:val=""/>
      <w:lvlJc w:val="left"/>
      <w:pPr>
        <w:ind w:left="2510" w:hanging="360"/>
      </w:pPr>
      <w:rPr>
        <w:rFonts w:ascii="Wingdings" w:hAnsi="Wingdings" w:hint="default"/>
      </w:rPr>
    </w:lvl>
    <w:lvl w:ilvl="3" w:tplc="0C0A0001" w:tentative="1">
      <w:start w:val="1"/>
      <w:numFmt w:val="bullet"/>
      <w:lvlText w:val=""/>
      <w:lvlJc w:val="left"/>
      <w:pPr>
        <w:ind w:left="3230" w:hanging="360"/>
      </w:pPr>
      <w:rPr>
        <w:rFonts w:ascii="Symbol" w:hAnsi="Symbol" w:hint="default"/>
      </w:rPr>
    </w:lvl>
    <w:lvl w:ilvl="4" w:tplc="0C0A0003" w:tentative="1">
      <w:start w:val="1"/>
      <w:numFmt w:val="bullet"/>
      <w:lvlText w:val="o"/>
      <w:lvlJc w:val="left"/>
      <w:pPr>
        <w:ind w:left="3950" w:hanging="360"/>
      </w:pPr>
      <w:rPr>
        <w:rFonts w:ascii="Courier New" w:hAnsi="Courier New" w:cs="Courier New" w:hint="default"/>
      </w:rPr>
    </w:lvl>
    <w:lvl w:ilvl="5" w:tplc="0C0A0005" w:tentative="1">
      <w:start w:val="1"/>
      <w:numFmt w:val="bullet"/>
      <w:lvlText w:val=""/>
      <w:lvlJc w:val="left"/>
      <w:pPr>
        <w:ind w:left="4670" w:hanging="360"/>
      </w:pPr>
      <w:rPr>
        <w:rFonts w:ascii="Wingdings" w:hAnsi="Wingdings" w:hint="default"/>
      </w:rPr>
    </w:lvl>
    <w:lvl w:ilvl="6" w:tplc="0C0A0001" w:tentative="1">
      <w:start w:val="1"/>
      <w:numFmt w:val="bullet"/>
      <w:lvlText w:val=""/>
      <w:lvlJc w:val="left"/>
      <w:pPr>
        <w:ind w:left="5390" w:hanging="360"/>
      </w:pPr>
      <w:rPr>
        <w:rFonts w:ascii="Symbol" w:hAnsi="Symbol" w:hint="default"/>
      </w:rPr>
    </w:lvl>
    <w:lvl w:ilvl="7" w:tplc="0C0A0003" w:tentative="1">
      <w:start w:val="1"/>
      <w:numFmt w:val="bullet"/>
      <w:lvlText w:val="o"/>
      <w:lvlJc w:val="left"/>
      <w:pPr>
        <w:ind w:left="6110" w:hanging="360"/>
      </w:pPr>
      <w:rPr>
        <w:rFonts w:ascii="Courier New" w:hAnsi="Courier New" w:cs="Courier New" w:hint="default"/>
      </w:rPr>
    </w:lvl>
    <w:lvl w:ilvl="8" w:tplc="0C0A0005" w:tentative="1">
      <w:start w:val="1"/>
      <w:numFmt w:val="bullet"/>
      <w:lvlText w:val=""/>
      <w:lvlJc w:val="left"/>
      <w:pPr>
        <w:ind w:left="683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24799D"/>
    <w:rsid w:val="001C15E9"/>
    <w:rsid w:val="001E0D1F"/>
    <w:rsid w:val="0024799D"/>
    <w:rsid w:val="004C1C6D"/>
    <w:rsid w:val="004D06B1"/>
    <w:rsid w:val="007A5410"/>
    <w:rsid w:val="00887E3D"/>
    <w:rsid w:val="008E1F22"/>
    <w:rsid w:val="009C5538"/>
    <w:rsid w:val="00A01BF0"/>
    <w:rsid w:val="00A51477"/>
    <w:rsid w:val="00A727F5"/>
    <w:rsid w:val="00B05B70"/>
    <w:rsid w:val="00BC2DD3"/>
    <w:rsid w:val="00F545E5"/>
    <w:rsid w:val="00FD299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eastAsiaTheme="minorHAnsi" w:hAnsiTheme="minorHAnsi" w:cstheme="minorBidi"/>
      <w:lang w:eastAsia="en-US"/>
    </w:rPr>
  </w:style>
  <w:style w:type="paragraph" w:styleId="Ttulo1">
    <w:name w:val="heading 1"/>
    <w:basedOn w:val="Normal"/>
    <w:uiPriority w:val="9"/>
    <w:qFormat/>
    <w:pPr>
      <w:keepNext/>
      <w:keepLines/>
      <w:spacing w:before="480"/>
      <w:outlineLvl w:val="0"/>
    </w:pPr>
    <w:rPr>
      <w:rFonts w:ascii="Arial" w:eastAsia="Arial" w:hAnsi="Arial" w:cs="Arial"/>
      <w:sz w:val="40"/>
      <w:szCs w:val="40"/>
    </w:rPr>
  </w:style>
  <w:style w:type="paragraph" w:styleId="Ttulo2">
    <w:name w:val="heading 2"/>
    <w:basedOn w:val="Normal"/>
    <w:uiPriority w:val="9"/>
    <w:unhideWhenUsed/>
    <w:qFormat/>
    <w:pPr>
      <w:keepNext/>
      <w:keepLines/>
      <w:spacing w:before="360"/>
      <w:outlineLvl w:val="1"/>
    </w:pPr>
    <w:rPr>
      <w:rFonts w:ascii="Arial" w:eastAsia="Arial" w:hAnsi="Arial" w:cs="Arial"/>
      <w:sz w:val="34"/>
    </w:rPr>
  </w:style>
  <w:style w:type="paragraph" w:styleId="Ttulo3">
    <w:name w:val="heading 3"/>
    <w:basedOn w:val="Normal"/>
    <w:uiPriority w:val="9"/>
    <w:unhideWhenUsed/>
    <w:qFormat/>
    <w:pPr>
      <w:keepNext/>
      <w:keepLines/>
      <w:spacing w:before="320"/>
      <w:outlineLvl w:val="2"/>
    </w:pPr>
    <w:rPr>
      <w:rFonts w:ascii="Arial" w:eastAsia="Arial" w:hAnsi="Arial" w:cs="Arial"/>
      <w:sz w:val="30"/>
      <w:szCs w:val="30"/>
    </w:rPr>
  </w:style>
  <w:style w:type="paragraph" w:styleId="Ttulo4">
    <w:name w:val="heading 4"/>
    <w:basedOn w:val="Normal"/>
    <w:uiPriority w:val="9"/>
    <w:unhideWhenUsed/>
    <w:qFormat/>
    <w:pPr>
      <w:keepNext/>
      <w:keepLines/>
      <w:spacing w:before="320"/>
      <w:outlineLvl w:val="3"/>
    </w:pPr>
    <w:rPr>
      <w:rFonts w:ascii="Arial" w:eastAsia="Arial" w:hAnsi="Arial" w:cs="Arial"/>
      <w:b/>
      <w:bCs/>
      <w:sz w:val="26"/>
      <w:szCs w:val="26"/>
    </w:rPr>
  </w:style>
  <w:style w:type="paragraph" w:styleId="Ttulo5">
    <w:name w:val="heading 5"/>
    <w:basedOn w:val="Normal"/>
    <w:uiPriority w:val="9"/>
    <w:unhideWhenUsed/>
    <w:qFormat/>
    <w:pPr>
      <w:keepNext/>
      <w:keepLines/>
      <w:spacing w:before="320"/>
      <w:outlineLvl w:val="4"/>
    </w:pPr>
    <w:rPr>
      <w:rFonts w:ascii="Arial" w:eastAsia="Arial" w:hAnsi="Arial" w:cs="Arial"/>
      <w:b/>
      <w:bCs/>
      <w:sz w:val="24"/>
      <w:szCs w:val="24"/>
    </w:rPr>
  </w:style>
  <w:style w:type="paragraph" w:styleId="Ttulo6">
    <w:name w:val="heading 6"/>
    <w:basedOn w:val="Normal"/>
    <w:uiPriority w:val="9"/>
    <w:unhideWhenUsed/>
    <w:qFormat/>
    <w:pPr>
      <w:keepNext/>
      <w:keepLines/>
      <w:spacing w:before="320"/>
      <w:outlineLvl w:val="5"/>
    </w:pPr>
    <w:rPr>
      <w:rFonts w:ascii="Arial" w:eastAsia="Arial" w:hAnsi="Arial" w:cs="Arial"/>
      <w:b/>
      <w:bCs/>
    </w:rPr>
  </w:style>
  <w:style w:type="paragraph" w:styleId="Ttulo7">
    <w:name w:val="heading 7"/>
    <w:basedOn w:val="Normal"/>
    <w:uiPriority w:val="9"/>
    <w:unhideWhenUsed/>
    <w:qFormat/>
    <w:pPr>
      <w:keepNext/>
      <w:keepLines/>
      <w:spacing w:before="320"/>
      <w:outlineLvl w:val="6"/>
    </w:pPr>
    <w:rPr>
      <w:rFonts w:ascii="Arial" w:eastAsia="Arial" w:hAnsi="Arial" w:cs="Arial"/>
      <w:b/>
      <w:bCs/>
      <w:i/>
      <w:iCs/>
    </w:rPr>
  </w:style>
  <w:style w:type="paragraph" w:styleId="Ttulo8">
    <w:name w:val="heading 8"/>
    <w:basedOn w:val="Normal"/>
    <w:uiPriority w:val="9"/>
    <w:unhideWhenUsed/>
    <w:qFormat/>
    <w:pPr>
      <w:keepNext/>
      <w:keepLines/>
      <w:spacing w:before="320"/>
      <w:outlineLvl w:val="7"/>
    </w:pPr>
    <w:rPr>
      <w:rFonts w:ascii="Arial" w:eastAsia="Arial" w:hAnsi="Arial" w:cs="Arial"/>
      <w:i/>
      <w:iCs/>
    </w:rPr>
  </w:style>
  <w:style w:type="paragraph" w:styleId="Ttulo9">
    <w:name w:val="heading 9"/>
    <w:basedOn w:val="Normal"/>
    <w:uiPriority w:val="9"/>
    <w:unhideWhenUsed/>
    <w:qFormat/>
    <w:pPr>
      <w:keepNext/>
      <w:keepLines/>
      <w:spacing w:before="320"/>
      <w:outlineLvl w:val="8"/>
    </w:pPr>
    <w:rPr>
      <w:rFonts w:ascii="Arial" w:eastAsia="Arial" w:hAnsi="Arial" w:cs="Arial"/>
      <w:i/>
      <w:iCs/>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uiPriority w:val="10"/>
    <w:qFormat/>
    <w:pPr>
      <w:spacing w:before="300"/>
      <w:contextualSpacing/>
    </w:pPr>
    <w:rPr>
      <w:sz w:val="48"/>
      <w:szCs w:val="48"/>
    </w:rPr>
  </w:style>
  <w:style w:type="character" w:customStyle="1" w:styleId="Heading1Char">
    <w:name w:val="Heading 1 Char"/>
    <w:uiPriority w:val="9"/>
    <w:qFormat/>
    <w:rPr>
      <w:rFonts w:ascii="Arial" w:eastAsia="Arial" w:hAnsi="Arial" w:cs="Arial"/>
      <w:sz w:val="40"/>
      <w:szCs w:val="40"/>
    </w:rPr>
  </w:style>
  <w:style w:type="character" w:customStyle="1" w:styleId="Heading2Char">
    <w:name w:val="Heading 2 Char"/>
    <w:uiPriority w:val="9"/>
    <w:qFormat/>
    <w:rPr>
      <w:rFonts w:ascii="Arial" w:eastAsia="Arial" w:hAnsi="Arial" w:cs="Arial"/>
      <w:sz w:val="34"/>
    </w:rPr>
  </w:style>
  <w:style w:type="character" w:customStyle="1" w:styleId="Heading3Char">
    <w:name w:val="Heading 3 Char"/>
    <w:uiPriority w:val="9"/>
    <w:qFormat/>
    <w:rPr>
      <w:rFonts w:ascii="Arial" w:eastAsia="Arial" w:hAnsi="Arial" w:cs="Arial"/>
      <w:sz w:val="30"/>
      <w:szCs w:val="30"/>
    </w:rPr>
  </w:style>
  <w:style w:type="character" w:customStyle="1" w:styleId="Heading4Char">
    <w:name w:val="Heading 4 Char"/>
    <w:uiPriority w:val="9"/>
    <w:qFormat/>
    <w:rPr>
      <w:rFonts w:ascii="Arial" w:eastAsia="Arial" w:hAnsi="Arial" w:cs="Arial"/>
      <w:b/>
      <w:bCs/>
      <w:sz w:val="26"/>
      <w:szCs w:val="26"/>
    </w:rPr>
  </w:style>
  <w:style w:type="character" w:customStyle="1" w:styleId="Heading5Char">
    <w:name w:val="Heading 5 Char"/>
    <w:uiPriority w:val="9"/>
    <w:qFormat/>
    <w:rPr>
      <w:rFonts w:ascii="Arial" w:eastAsia="Arial" w:hAnsi="Arial" w:cs="Arial"/>
      <w:b/>
      <w:bCs/>
      <w:sz w:val="24"/>
      <w:szCs w:val="24"/>
    </w:rPr>
  </w:style>
  <w:style w:type="character" w:customStyle="1" w:styleId="Heading6Char">
    <w:name w:val="Heading 6 Char"/>
    <w:uiPriority w:val="9"/>
    <w:qFormat/>
    <w:rPr>
      <w:rFonts w:ascii="Arial" w:eastAsia="Arial" w:hAnsi="Arial" w:cs="Arial"/>
      <w:b/>
      <w:bCs/>
      <w:sz w:val="22"/>
      <w:szCs w:val="22"/>
    </w:rPr>
  </w:style>
  <w:style w:type="character" w:customStyle="1" w:styleId="Heading7Char">
    <w:name w:val="Heading 7 Char"/>
    <w:uiPriority w:val="9"/>
    <w:qFormat/>
    <w:rPr>
      <w:rFonts w:ascii="Arial" w:eastAsia="Arial" w:hAnsi="Arial" w:cs="Arial"/>
      <w:b/>
      <w:bCs/>
      <w:i/>
      <w:iCs/>
      <w:sz w:val="22"/>
      <w:szCs w:val="22"/>
    </w:rPr>
  </w:style>
  <w:style w:type="character" w:customStyle="1" w:styleId="Heading8Char">
    <w:name w:val="Heading 8 Char"/>
    <w:uiPriority w:val="9"/>
    <w:qFormat/>
    <w:rPr>
      <w:rFonts w:ascii="Arial" w:eastAsia="Arial" w:hAnsi="Arial" w:cs="Arial"/>
      <w:i/>
      <w:iCs/>
      <w:sz w:val="22"/>
      <w:szCs w:val="22"/>
    </w:rPr>
  </w:style>
  <w:style w:type="character" w:customStyle="1" w:styleId="Heading9Char">
    <w:name w:val="Heading 9 Char"/>
    <w:uiPriority w:val="9"/>
    <w:qFormat/>
    <w:rPr>
      <w:rFonts w:ascii="Arial" w:eastAsia="Arial" w:hAnsi="Arial" w:cs="Arial"/>
      <w:i/>
      <w:iCs/>
      <w:sz w:val="21"/>
      <w:szCs w:val="21"/>
    </w:rPr>
  </w:style>
  <w:style w:type="character" w:customStyle="1" w:styleId="TitleChar">
    <w:name w:val="Title Char"/>
    <w:uiPriority w:val="10"/>
    <w:qFormat/>
    <w:rPr>
      <w:sz w:val="48"/>
      <w:szCs w:val="48"/>
    </w:rPr>
  </w:style>
  <w:style w:type="character" w:customStyle="1" w:styleId="SubtitleChar">
    <w:name w:val="Subtitle Char"/>
    <w:uiPriority w:val="11"/>
    <w:qFormat/>
    <w:rPr>
      <w:sz w:val="24"/>
      <w:szCs w:val="24"/>
    </w:rPr>
  </w:style>
  <w:style w:type="character" w:customStyle="1" w:styleId="QuoteChar">
    <w:name w:val="Quote Char"/>
    <w:uiPriority w:val="29"/>
    <w:qFormat/>
    <w:rPr>
      <w:i/>
    </w:rPr>
  </w:style>
  <w:style w:type="character" w:customStyle="1" w:styleId="IntenseQuoteChar">
    <w:name w:val="Intense Quote Char"/>
    <w:uiPriority w:val="30"/>
    <w:qFormat/>
    <w:rPr>
      <w:i/>
    </w:rPr>
  </w:style>
  <w:style w:type="character" w:customStyle="1" w:styleId="HeaderChar">
    <w:name w:val="Header Char"/>
    <w:uiPriority w:val="99"/>
    <w:qFormat/>
  </w:style>
  <w:style w:type="character" w:customStyle="1" w:styleId="FooterChar">
    <w:name w:val="Footer Char"/>
    <w:uiPriority w:val="99"/>
    <w:qFormat/>
  </w:style>
  <w:style w:type="character" w:customStyle="1" w:styleId="CaptionChar">
    <w:name w:val="Caption Char"/>
    <w:uiPriority w:val="99"/>
    <w:qFormat/>
  </w:style>
  <w:style w:type="character" w:styleId="Hipervnculo">
    <w:name w:val="Hyperlink"/>
    <w:uiPriority w:val="99"/>
    <w:unhideWhenUsed/>
    <w:rPr>
      <w:color w:val="0563C1" w:themeColor="hyperlink"/>
      <w:u w:val="single"/>
    </w:rPr>
  </w:style>
  <w:style w:type="character" w:customStyle="1" w:styleId="FootnoteTextChar">
    <w:name w:val="Footnote Text Char"/>
    <w:uiPriority w:val="99"/>
    <w:qFormat/>
    <w:rPr>
      <w:sz w:val="18"/>
    </w:rPr>
  </w:style>
  <w:style w:type="character" w:customStyle="1" w:styleId="FootnoteCharacters">
    <w:name w:val="Footnote Characters"/>
    <w:uiPriority w:val="99"/>
    <w:unhideWhenUsed/>
    <w:qFormat/>
    <w:rPr>
      <w:vertAlign w:val="superscript"/>
    </w:rPr>
  </w:style>
  <w:style w:type="character" w:styleId="Refdenotaalpie">
    <w:name w:val="footnote reference"/>
    <w:rPr>
      <w:vertAlign w:val="superscript"/>
    </w:rPr>
  </w:style>
  <w:style w:type="character" w:customStyle="1" w:styleId="EndnoteTextChar">
    <w:name w:val="Endnote Text Char"/>
    <w:uiPriority w:val="99"/>
    <w:qFormat/>
    <w:rPr>
      <w:sz w:val="20"/>
    </w:rPr>
  </w:style>
  <w:style w:type="character" w:customStyle="1" w:styleId="EndnoteCharacters">
    <w:name w:val="Endnote Characters"/>
    <w:uiPriority w:val="99"/>
    <w:semiHidden/>
    <w:unhideWhenUsed/>
    <w:qFormat/>
    <w:rPr>
      <w:vertAlign w:val="superscript"/>
    </w:rPr>
  </w:style>
  <w:style w:type="character" w:styleId="Refdenotaalfinal">
    <w:name w:val="endnote reference"/>
    <w:rPr>
      <w:vertAlign w:val="superscript"/>
    </w:rPr>
  </w:style>
  <w:style w:type="paragraph" w:customStyle="1" w:styleId="Heading">
    <w:name w:val="Heading"/>
    <w:basedOn w:val="Normal"/>
    <w:next w:val="Textoindependiente1"/>
    <w:qFormat/>
    <w:pPr>
      <w:keepNext/>
      <w:spacing w:before="240" w:after="120"/>
    </w:pPr>
    <w:rPr>
      <w:rFonts w:ascii="Liberation Sans" w:eastAsia="Noto Sans CJK SC" w:hAnsi="Liberation Sans" w:cs="FreeSans"/>
      <w:sz w:val="28"/>
      <w:szCs w:val="28"/>
    </w:rPr>
  </w:style>
  <w:style w:type="paragraph" w:customStyle="1" w:styleId="Textoindependiente1">
    <w:name w:val="Texto independiente1"/>
    <w:pPr>
      <w:spacing w:after="140"/>
    </w:pPr>
    <w:rPr>
      <w:rFonts w:ascii="Liberation Serif" w:eastAsia="Noto Serif CJK SC" w:hAnsi="Liberation Serif" w:cs="FreeSans"/>
      <w:sz w:val="24"/>
      <w:szCs w:val="24"/>
      <w:lang w:eastAsia="zh-CN" w:bidi="hi-IN"/>
    </w:rPr>
  </w:style>
  <w:style w:type="paragraph" w:styleId="Lista">
    <w:name w:val="List"/>
    <w:basedOn w:val="Textoindependiente1"/>
  </w:style>
  <w:style w:type="paragraph" w:styleId="Epgrafe">
    <w:name w:val="caption"/>
    <w:basedOn w:val="Normal"/>
    <w:uiPriority w:val="35"/>
    <w:semiHidden/>
    <w:unhideWhenUsed/>
    <w:qFormat/>
    <w:rPr>
      <w:b/>
      <w:bCs/>
      <w:color w:val="5B9BD5" w:themeColor="accent1"/>
      <w:sz w:val="18"/>
      <w:szCs w:val="18"/>
    </w:rPr>
  </w:style>
  <w:style w:type="paragraph" w:customStyle="1" w:styleId="Index">
    <w:name w:val="Index"/>
    <w:basedOn w:val="Normal"/>
    <w:qFormat/>
    <w:pPr>
      <w:suppressLineNumbers/>
    </w:pPr>
    <w:rPr>
      <w:rFonts w:cs="FreeSans"/>
    </w:rPr>
  </w:style>
  <w:style w:type="paragraph" w:styleId="Subttulo">
    <w:name w:val="Subtitle"/>
    <w:basedOn w:val="Normal"/>
    <w:next w:val="Normal"/>
    <w:pPr>
      <w:spacing w:before="200"/>
    </w:pPr>
    <w:rPr>
      <w:sz w:val="24"/>
      <w:szCs w:val="24"/>
    </w:rPr>
  </w:style>
  <w:style w:type="paragraph" w:styleId="Cita">
    <w:name w:val="Quote"/>
    <w:basedOn w:val="Normal"/>
    <w:uiPriority w:val="29"/>
    <w:qFormat/>
    <w:pPr>
      <w:ind w:left="720" w:right="720"/>
    </w:pPr>
    <w:rPr>
      <w:i/>
    </w:rPr>
  </w:style>
  <w:style w:type="paragraph" w:styleId="Citadestacada">
    <w:name w:val="Intense Quote"/>
    <w:basedOn w:val="Normal"/>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paragraph" w:customStyle="1" w:styleId="HeaderandFooter">
    <w:name w:val="Header and Footer"/>
    <w:basedOn w:val="Normal"/>
    <w:qFormat/>
  </w:style>
  <w:style w:type="paragraph" w:styleId="Encabezado">
    <w:name w:val="header"/>
    <w:basedOn w:val="Normal"/>
    <w:uiPriority w:val="99"/>
    <w:unhideWhenUsed/>
    <w:pPr>
      <w:tabs>
        <w:tab w:val="center" w:pos="7143"/>
        <w:tab w:val="right" w:pos="14287"/>
      </w:tabs>
      <w:spacing w:after="0" w:line="240" w:lineRule="auto"/>
    </w:pPr>
  </w:style>
  <w:style w:type="paragraph" w:styleId="Piedepgina">
    <w:name w:val="footer"/>
    <w:basedOn w:val="Normal"/>
    <w:uiPriority w:val="99"/>
    <w:unhideWhenUsed/>
    <w:pPr>
      <w:tabs>
        <w:tab w:val="center" w:pos="7143"/>
        <w:tab w:val="right" w:pos="14287"/>
      </w:tabs>
      <w:spacing w:after="0" w:line="240" w:lineRule="auto"/>
    </w:pPr>
  </w:style>
  <w:style w:type="paragraph" w:styleId="Textonotapie">
    <w:name w:val="footnote text"/>
    <w:basedOn w:val="Normal"/>
    <w:uiPriority w:val="99"/>
    <w:semiHidden/>
    <w:unhideWhenUsed/>
    <w:pPr>
      <w:spacing w:after="40" w:line="240" w:lineRule="auto"/>
    </w:pPr>
    <w:rPr>
      <w:sz w:val="18"/>
    </w:rPr>
  </w:style>
  <w:style w:type="paragraph" w:styleId="Textonotaalfinal">
    <w:name w:val="endnote text"/>
    <w:basedOn w:val="Normal"/>
    <w:uiPriority w:val="99"/>
    <w:semiHidden/>
    <w:unhideWhenUsed/>
    <w:pPr>
      <w:spacing w:after="0" w:line="240" w:lineRule="auto"/>
    </w:pPr>
    <w:rPr>
      <w:sz w:val="20"/>
    </w:rPr>
  </w:style>
  <w:style w:type="paragraph" w:styleId="TDC1">
    <w:name w:val="toc 1"/>
    <w:basedOn w:val="Normal"/>
    <w:uiPriority w:val="39"/>
    <w:unhideWhenUsed/>
    <w:pPr>
      <w:spacing w:after="57"/>
    </w:pPr>
  </w:style>
  <w:style w:type="paragraph" w:styleId="TDC2">
    <w:name w:val="toc 2"/>
    <w:basedOn w:val="Normal"/>
    <w:uiPriority w:val="39"/>
    <w:unhideWhenUsed/>
    <w:pPr>
      <w:spacing w:after="57"/>
      <w:ind w:left="283"/>
    </w:pPr>
  </w:style>
  <w:style w:type="paragraph" w:styleId="TDC3">
    <w:name w:val="toc 3"/>
    <w:basedOn w:val="Normal"/>
    <w:uiPriority w:val="39"/>
    <w:unhideWhenUsed/>
    <w:pPr>
      <w:spacing w:after="57"/>
      <w:ind w:left="567"/>
    </w:pPr>
  </w:style>
  <w:style w:type="paragraph" w:styleId="TDC4">
    <w:name w:val="toc 4"/>
    <w:basedOn w:val="Normal"/>
    <w:uiPriority w:val="39"/>
    <w:unhideWhenUsed/>
    <w:pPr>
      <w:spacing w:after="57"/>
      <w:ind w:left="850"/>
    </w:pPr>
  </w:style>
  <w:style w:type="paragraph" w:styleId="TDC5">
    <w:name w:val="toc 5"/>
    <w:basedOn w:val="Normal"/>
    <w:uiPriority w:val="39"/>
    <w:unhideWhenUsed/>
    <w:pPr>
      <w:spacing w:after="57"/>
      <w:ind w:left="1134"/>
    </w:pPr>
  </w:style>
  <w:style w:type="paragraph" w:styleId="TDC6">
    <w:name w:val="toc 6"/>
    <w:basedOn w:val="Normal"/>
    <w:uiPriority w:val="39"/>
    <w:unhideWhenUsed/>
    <w:pPr>
      <w:spacing w:after="57"/>
      <w:ind w:left="1417"/>
    </w:pPr>
  </w:style>
  <w:style w:type="paragraph" w:styleId="TDC7">
    <w:name w:val="toc 7"/>
    <w:basedOn w:val="Normal"/>
    <w:uiPriority w:val="39"/>
    <w:unhideWhenUsed/>
    <w:pPr>
      <w:spacing w:after="57"/>
      <w:ind w:left="1701"/>
    </w:pPr>
  </w:style>
  <w:style w:type="paragraph" w:styleId="TDC8">
    <w:name w:val="toc 8"/>
    <w:basedOn w:val="Normal"/>
    <w:uiPriority w:val="39"/>
    <w:unhideWhenUsed/>
    <w:pPr>
      <w:spacing w:after="57"/>
      <w:ind w:left="1984"/>
    </w:pPr>
  </w:style>
  <w:style w:type="paragraph" w:styleId="TDC9">
    <w:name w:val="toc 9"/>
    <w:basedOn w:val="Normal"/>
    <w:uiPriority w:val="39"/>
    <w:unhideWhenUsed/>
    <w:pPr>
      <w:spacing w:after="57"/>
      <w:ind w:left="2268"/>
    </w:pPr>
  </w:style>
  <w:style w:type="paragraph" w:styleId="Ttulodendice">
    <w:name w:val="index heading"/>
    <w:basedOn w:val="Heading"/>
  </w:style>
  <w:style w:type="paragraph" w:styleId="TtulodeTDC">
    <w:name w:val="TOC Heading"/>
    <w:uiPriority w:val="39"/>
    <w:unhideWhenUsed/>
    <w:qFormat/>
    <w:rPr>
      <w:rFonts w:asciiTheme="minorHAnsi" w:eastAsiaTheme="minorHAnsi" w:hAnsiTheme="minorHAnsi" w:cstheme="minorBidi"/>
      <w:lang w:eastAsia="en-US"/>
    </w:rPr>
  </w:style>
  <w:style w:type="paragraph" w:styleId="Tabladeilustraciones">
    <w:name w:val="table of figures"/>
    <w:basedOn w:val="Normal"/>
    <w:uiPriority w:val="99"/>
    <w:unhideWhenUsed/>
    <w:pPr>
      <w:spacing w:after="0"/>
    </w:pPr>
  </w:style>
  <w:style w:type="paragraph" w:styleId="Sinespaciado">
    <w:name w:val="No Spacing"/>
    <w:basedOn w:val="Normal"/>
    <w:uiPriority w:val="1"/>
    <w:qFormat/>
    <w:pPr>
      <w:spacing w:after="0" w:line="240" w:lineRule="auto"/>
    </w:pPr>
  </w:style>
  <w:style w:type="paragraph" w:styleId="Prrafodelista">
    <w:name w:val="List Paragraph"/>
    <w:basedOn w:val="Normal"/>
    <w:uiPriority w:val="34"/>
    <w:qFormat/>
    <w:pPr>
      <w:ind w:left="720"/>
      <w:contextualSpacing/>
    </w:pPr>
  </w:style>
  <w:style w:type="paragraph" w:styleId="NormalWeb">
    <w:name w:val="Normal (Web)"/>
    <w:basedOn w:val="Normal"/>
    <w:uiPriority w:val="99"/>
    <w:unhideWhenUsed/>
    <w:rsid w:val="00B05B70"/>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eastAsiaTheme="minorHAnsi" w:hAnsiTheme="minorHAnsi" w:cstheme="minorBidi"/>
      <w:lang w:eastAsia="en-US"/>
    </w:rPr>
  </w:style>
  <w:style w:type="paragraph" w:styleId="Ttulo1">
    <w:name w:val="heading 1"/>
    <w:basedOn w:val="Normal"/>
    <w:uiPriority w:val="9"/>
    <w:qFormat/>
    <w:pPr>
      <w:keepNext/>
      <w:keepLines/>
      <w:spacing w:before="480"/>
      <w:outlineLvl w:val="0"/>
    </w:pPr>
    <w:rPr>
      <w:rFonts w:ascii="Arial" w:eastAsia="Arial" w:hAnsi="Arial" w:cs="Arial"/>
      <w:sz w:val="40"/>
      <w:szCs w:val="40"/>
    </w:rPr>
  </w:style>
  <w:style w:type="paragraph" w:styleId="Ttulo2">
    <w:name w:val="heading 2"/>
    <w:basedOn w:val="Normal"/>
    <w:uiPriority w:val="9"/>
    <w:unhideWhenUsed/>
    <w:qFormat/>
    <w:pPr>
      <w:keepNext/>
      <w:keepLines/>
      <w:spacing w:before="360"/>
      <w:outlineLvl w:val="1"/>
    </w:pPr>
    <w:rPr>
      <w:rFonts w:ascii="Arial" w:eastAsia="Arial" w:hAnsi="Arial" w:cs="Arial"/>
      <w:sz w:val="34"/>
    </w:rPr>
  </w:style>
  <w:style w:type="paragraph" w:styleId="Ttulo3">
    <w:name w:val="heading 3"/>
    <w:basedOn w:val="Normal"/>
    <w:uiPriority w:val="9"/>
    <w:unhideWhenUsed/>
    <w:qFormat/>
    <w:pPr>
      <w:keepNext/>
      <w:keepLines/>
      <w:spacing w:before="320"/>
      <w:outlineLvl w:val="2"/>
    </w:pPr>
    <w:rPr>
      <w:rFonts w:ascii="Arial" w:eastAsia="Arial" w:hAnsi="Arial" w:cs="Arial"/>
      <w:sz w:val="30"/>
      <w:szCs w:val="30"/>
    </w:rPr>
  </w:style>
  <w:style w:type="paragraph" w:styleId="Ttulo4">
    <w:name w:val="heading 4"/>
    <w:basedOn w:val="Normal"/>
    <w:uiPriority w:val="9"/>
    <w:unhideWhenUsed/>
    <w:qFormat/>
    <w:pPr>
      <w:keepNext/>
      <w:keepLines/>
      <w:spacing w:before="320"/>
      <w:outlineLvl w:val="3"/>
    </w:pPr>
    <w:rPr>
      <w:rFonts w:ascii="Arial" w:eastAsia="Arial" w:hAnsi="Arial" w:cs="Arial"/>
      <w:b/>
      <w:bCs/>
      <w:sz w:val="26"/>
      <w:szCs w:val="26"/>
    </w:rPr>
  </w:style>
  <w:style w:type="paragraph" w:styleId="Ttulo5">
    <w:name w:val="heading 5"/>
    <w:basedOn w:val="Normal"/>
    <w:uiPriority w:val="9"/>
    <w:unhideWhenUsed/>
    <w:qFormat/>
    <w:pPr>
      <w:keepNext/>
      <w:keepLines/>
      <w:spacing w:before="320"/>
      <w:outlineLvl w:val="4"/>
    </w:pPr>
    <w:rPr>
      <w:rFonts w:ascii="Arial" w:eastAsia="Arial" w:hAnsi="Arial" w:cs="Arial"/>
      <w:b/>
      <w:bCs/>
      <w:sz w:val="24"/>
      <w:szCs w:val="24"/>
    </w:rPr>
  </w:style>
  <w:style w:type="paragraph" w:styleId="Ttulo6">
    <w:name w:val="heading 6"/>
    <w:basedOn w:val="Normal"/>
    <w:uiPriority w:val="9"/>
    <w:unhideWhenUsed/>
    <w:qFormat/>
    <w:pPr>
      <w:keepNext/>
      <w:keepLines/>
      <w:spacing w:before="320"/>
      <w:outlineLvl w:val="5"/>
    </w:pPr>
    <w:rPr>
      <w:rFonts w:ascii="Arial" w:eastAsia="Arial" w:hAnsi="Arial" w:cs="Arial"/>
      <w:b/>
      <w:bCs/>
    </w:rPr>
  </w:style>
  <w:style w:type="paragraph" w:styleId="Ttulo7">
    <w:name w:val="heading 7"/>
    <w:basedOn w:val="Normal"/>
    <w:uiPriority w:val="9"/>
    <w:unhideWhenUsed/>
    <w:qFormat/>
    <w:pPr>
      <w:keepNext/>
      <w:keepLines/>
      <w:spacing w:before="320"/>
      <w:outlineLvl w:val="6"/>
    </w:pPr>
    <w:rPr>
      <w:rFonts w:ascii="Arial" w:eastAsia="Arial" w:hAnsi="Arial" w:cs="Arial"/>
      <w:b/>
      <w:bCs/>
      <w:i/>
      <w:iCs/>
    </w:rPr>
  </w:style>
  <w:style w:type="paragraph" w:styleId="Ttulo8">
    <w:name w:val="heading 8"/>
    <w:basedOn w:val="Normal"/>
    <w:uiPriority w:val="9"/>
    <w:unhideWhenUsed/>
    <w:qFormat/>
    <w:pPr>
      <w:keepNext/>
      <w:keepLines/>
      <w:spacing w:before="320"/>
      <w:outlineLvl w:val="7"/>
    </w:pPr>
    <w:rPr>
      <w:rFonts w:ascii="Arial" w:eastAsia="Arial" w:hAnsi="Arial" w:cs="Arial"/>
      <w:i/>
      <w:iCs/>
    </w:rPr>
  </w:style>
  <w:style w:type="paragraph" w:styleId="Ttulo9">
    <w:name w:val="heading 9"/>
    <w:basedOn w:val="Normal"/>
    <w:uiPriority w:val="9"/>
    <w:unhideWhenUsed/>
    <w:qFormat/>
    <w:pPr>
      <w:keepNext/>
      <w:keepLines/>
      <w:spacing w:before="320"/>
      <w:outlineLvl w:val="8"/>
    </w:pPr>
    <w:rPr>
      <w:rFonts w:ascii="Arial" w:eastAsia="Arial" w:hAnsi="Arial" w:cs="Arial"/>
      <w:i/>
      <w:iCs/>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uiPriority w:val="10"/>
    <w:qFormat/>
    <w:pPr>
      <w:spacing w:before="300"/>
      <w:contextualSpacing/>
    </w:pPr>
    <w:rPr>
      <w:sz w:val="48"/>
      <w:szCs w:val="48"/>
    </w:rPr>
  </w:style>
  <w:style w:type="character" w:customStyle="1" w:styleId="Heading1Char">
    <w:name w:val="Heading 1 Char"/>
    <w:uiPriority w:val="9"/>
    <w:qFormat/>
    <w:rPr>
      <w:rFonts w:ascii="Arial" w:eastAsia="Arial" w:hAnsi="Arial" w:cs="Arial"/>
      <w:sz w:val="40"/>
      <w:szCs w:val="40"/>
    </w:rPr>
  </w:style>
  <w:style w:type="character" w:customStyle="1" w:styleId="Heading2Char">
    <w:name w:val="Heading 2 Char"/>
    <w:uiPriority w:val="9"/>
    <w:qFormat/>
    <w:rPr>
      <w:rFonts w:ascii="Arial" w:eastAsia="Arial" w:hAnsi="Arial" w:cs="Arial"/>
      <w:sz w:val="34"/>
    </w:rPr>
  </w:style>
  <w:style w:type="character" w:customStyle="1" w:styleId="Heading3Char">
    <w:name w:val="Heading 3 Char"/>
    <w:uiPriority w:val="9"/>
    <w:qFormat/>
    <w:rPr>
      <w:rFonts w:ascii="Arial" w:eastAsia="Arial" w:hAnsi="Arial" w:cs="Arial"/>
      <w:sz w:val="30"/>
      <w:szCs w:val="30"/>
    </w:rPr>
  </w:style>
  <w:style w:type="character" w:customStyle="1" w:styleId="Heading4Char">
    <w:name w:val="Heading 4 Char"/>
    <w:uiPriority w:val="9"/>
    <w:qFormat/>
    <w:rPr>
      <w:rFonts w:ascii="Arial" w:eastAsia="Arial" w:hAnsi="Arial" w:cs="Arial"/>
      <w:b/>
      <w:bCs/>
      <w:sz w:val="26"/>
      <w:szCs w:val="26"/>
    </w:rPr>
  </w:style>
  <w:style w:type="character" w:customStyle="1" w:styleId="Heading5Char">
    <w:name w:val="Heading 5 Char"/>
    <w:uiPriority w:val="9"/>
    <w:qFormat/>
    <w:rPr>
      <w:rFonts w:ascii="Arial" w:eastAsia="Arial" w:hAnsi="Arial" w:cs="Arial"/>
      <w:b/>
      <w:bCs/>
      <w:sz w:val="24"/>
      <w:szCs w:val="24"/>
    </w:rPr>
  </w:style>
  <w:style w:type="character" w:customStyle="1" w:styleId="Heading6Char">
    <w:name w:val="Heading 6 Char"/>
    <w:uiPriority w:val="9"/>
    <w:qFormat/>
    <w:rPr>
      <w:rFonts w:ascii="Arial" w:eastAsia="Arial" w:hAnsi="Arial" w:cs="Arial"/>
      <w:b/>
      <w:bCs/>
      <w:sz w:val="22"/>
      <w:szCs w:val="22"/>
    </w:rPr>
  </w:style>
  <w:style w:type="character" w:customStyle="1" w:styleId="Heading7Char">
    <w:name w:val="Heading 7 Char"/>
    <w:uiPriority w:val="9"/>
    <w:qFormat/>
    <w:rPr>
      <w:rFonts w:ascii="Arial" w:eastAsia="Arial" w:hAnsi="Arial" w:cs="Arial"/>
      <w:b/>
      <w:bCs/>
      <w:i/>
      <w:iCs/>
      <w:sz w:val="22"/>
      <w:szCs w:val="22"/>
    </w:rPr>
  </w:style>
  <w:style w:type="character" w:customStyle="1" w:styleId="Heading8Char">
    <w:name w:val="Heading 8 Char"/>
    <w:uiPriority w:val="9"/>
    <w:qFormat/>
    <w:rPr>
      <w:rFonts w:ascii="Arial" w:eastAsia="Arial" w:hAnsi="Arial" w:cs="Arial"/>
      <w:i/>
      <w:iCs/>
      <w:sz w:val="22"/>
      <w:szCs w:val="22"/>
    </w:rPr>
  </w:style>
  <w:style w:type="character" w:customStyle="1" w:styleId="Heading9Char">
    <w:name w:val="Heading 9 Char"/>
    <w:uiPriority w:val="9"/>
    <w:qFormat/>
    <w:rPr>
      <w:rFonts w:ascii="Arial" w:eastAsia="Arial" w:hAnsi="Arial" w:cs="Arial"/>
      <w:i/>
      <w:iCs/>
      <w:sz w:val="21"/>
      <w:szCs w:val="21"/>
    </w:rPr>
  </w:style>
  <w:style w:type="character" w:customStyle="1" w:styleId="TitleChar">
    <w:name w:val="Title Char"/>
    <w:uiPriority w:val="10"/>
    <w:qFormat/>
    <w:rPr>
      <w:sz w:val="48"/>
      <w:szCs w:val="48"/>
    </w:rPr>
  </w:style>
  <w:style w:type="character" w:customStyle="1" w:styleId="SubtitleChar">
    <w:name w:val="Subtitle Char"/>
    <w:uiPriority w:val="11"/>
    <w:qFormat/>
    <w:rPr>
      <w:sz w:val="24"/>
      <w:szCs w:val="24"/>
    </w:rPr>
  </w:style>
  <w:style w:type="character" w:customStyle="1" w:styleId="QuoteChar">
    <w:name w:val="Quote Char"/>
    <w:uiPriority w:val="29"/>
    <w:qFormat/>
    <w:rPr>
      <w:i/>
    </w:rPr>
  </w:style>
  <w:style w:type="character" w:customStyle="1" w:styleId="IntenseQuoteChar">
    <w:name w:val="Intense Quote Char"/>
    <w:uiPriority w:val="30"/>
    <w:qFormat/>
    <w:rPr>
      <w:i/>
    </w:rPr>
  </w:style>
  <w:style w:type="character" w:customStyle="1" w:styleId="HeaderChar">
    <w:name w:val="Header Char"/>
    <w:uiPriority w:val="99"/>
    <w:qFormat/>
  </w:style>
  <w:style w:type="character" w:customStyle="1" w:styleId="FooterChar">
    <w:name w:val="Footer Char"/>
    <w:uiPriority w:val="99"/>
    <w:qFormat/>
  </w:style>
  <w:style w:type="character" w:customStyle="1" w:styleId="CaptionChar">
    <w:name w:val="Caption Char"/>
    <w:uiPriority w:val="99"/>
    <w:qFormat/>
  </w:style>
  <w:style w:type="character" w:styleId="Hipervnculo">
    <w:name w:val="Hyperlink"/>
    <w:uiPriority w:val="99"/>
    <w:unhideWhenUsed/>
    <w:rPr>
      <w:color w:val="0563C1" w:themeColor="hyperlink"/>
      <w:u w:val="single"/>
    </w:rPr>
  </w:style>
  <w:style w:type="character" w:customStyle="1" w:styleId="FootnoteTextChar">
    <w:name w:val="Footnote Text Char"/>
    <w:uiPriority w:val="99"/>
    <w:qFormat/>
    <w:rPr>
      <w:sz w:val="18"/>
    </w:rPr>
  </w:style>
  <w:style w:type="character" w:customStyle="1" w:styleId="FootnoteCharacters">
    <w:name w:val="Footnote Characters"/>
    <w:uiPriority w:val="99"/>
    <w:unhideWhenUsed/>
    <w:qFormat/>
    <w:rPr>
      <w:vertAlign w:val="superscript"/>
    </w:rPr>
  </w:style>
  <w:style w:type="character" w:styleId="Refdenotaalpie">
    <w:name w:val="footnote reference"/>
    <w:rPr>
      <w:vertAlign w:val="superscript"/>
    </w:rPr>
  </w:style>
  <w:style w:type="character" w:customStyle="1" w:styleId="EndnoteTextChar">
    <w:name w:val="Endnote Text Char"/>
    <w:uiPriority w:val="99"/>
    <w:qFormat/>
    <w:rPr>
      <w:sz w:val="20"/>
    </w:rPr>
  </w:style>
  <w:style w:type="character" w:customStyle="1" w:styleId="EndnoteCharacters">
    <w:name w:val="Endnote Characters"/>
    <w:uiPriority w:val="99"/>
    <w:semiHidden/>
    <w:unhideWhenUsed/>
    <w:qFormat/>
    <w:rPr>
      <w:vertAlign w:val="superscript"/>
    </w:rPr>
  </w:style>
  <w:style w:type="character" w:styleId="Refdenotaalfinal">
    <w:name w:val="endnote reference"/>
    <w:rPr>
      <w:vertAlign w:val="superscript"/>
    </w:rPr>
  </w:style>
  <w:style w:type="paragraph" w:customStyle="1" w:styleId="Heading">
    <w:name w:val="Heading"/>
    <w:basedOn w:val="Normal"/>
    <w:next w:val="Textoindependiente1"/>
    <w:qFormat/>
    <w:pPr>
      <w:keepNext/>
      <w:spacing w:before="240" w:after="120"/>
    </w:pPr>
    <w:rPr>
      <w:rFonts w:ascii="Liberation Sans" w:eastAsia="Noto Sans CJK SC" w:hAnsi="Liberation Sans" w:cs="FreeSans"/>
      <w:sz w:val="28"/>
      <w:szCs w:val="28"/>
    </w:rPr>
  </w:style>
  <w:style w:type="paragraph" w:customStyle="1" w:styleId="Textoindependiente1">
    <w:name w:val="Texto independiente1"/>
    <w:pPr>
      <w:spacing w:after="140"/>
    </w:pPr>
    <w:rPr>
      <w:rFonts w:ascii="Liberation Serif" w:eastAsia="Noto Serif CJK SC" w:hAnsi="Liberation Serif" w:cs="FreeSans"/>
      <w:sz w:val="24"/>
      <w:szCs w:val="24"/>
      <w:lang w:eastAsia="zh-CN" w:bidi="hi-IN"/>
    </w:rPr>
  </w:style>
  <w:style w:type="paragraph" w:styleId="Lista">
    <w:name w:val="List"/>
    <w:basedOn w:val="Textoindependiente1"/>
  </w:style>
  <w:style w:type="paragraph" w:styleId="Epgrafe">
    <w:name w:val="caption"/>
    <w:basedOn w:val="Normal"/>
    <w:uiPriority w:val="35"/>
    <w:semiHidden/>
    <w:unhideWhenUsed/>
    <w:qFormat/>
    <w:rPr>
      <w:b/>
      <w:bCs/>
      <w:color w:val="5B9BD5" w:themeColor="accent1"/>
      <w:sz w:val="18"/>
      <w:szCs w:val="18"/>
    </w:rPr>
  </w:style>
  <w:style w:type="paragraph" w:customStyle="1" w:styleId="Index">
    <w:name w:val="Index"/>
    <w:basedOn w:val="Normal"/>
    <w:qFormat/>
    <w:pPr>
      <w:suppressLineNumbers/>
    </w:pPr>
    <w:rPr>
      <w:rFonts w:cs="FreeSans"/>
    </w:rPr>
  </w:style>
  <w:style w:type="paragraph" w:styleId="Subttulo">
    <w:name w:val="Subtitle"/>
    <w:basedOn w:val="Normal"/>
    <w:next w:val="Normal"/>
    <w:pPr>
      <w:spacing w:before="200"/>
    </w:pPr>
    <w:rPr>
      <w:sz w:val="24"/>
      <w:szCs w:val="24"/>
    </w:rPr>
  </w:style>
  <w:style w:type="paragraph" w:styleId="Cita">
    <w:name w:val="Quote"/>
    <w:basedOn w:val="Normal"/>
    <w:uiPriority w:val="29"/>
    <w:qFormat/>
    <w:pPr>
      <w:ind w:left="720" w:right="720"/>
    </w:pPr>
    <w:rPr>
      <w:i/>
    </w:rPr>
  </w:style>
  <w:style w:type="paragraph" w:styleId="Citadestacada">
    <w:name w:val="Intense Quote"/>
    <w:basedOn w:val="Normal"/>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paragraph" w:customStyle="1" w:styleId="HeaderandFooter">
    <w:name w:val="Header and Footer"/>
    <w:basedOn w:val="Normal"/>
    <w:qFormat/>
  </w:style>
  <w:style w:type="paragraph" w:styleId="Encabezado">
    <w:name w:val="header"/>
    <w:basedOn w:val="Normal"/>
    <w:uiPriority w:val="99"/>
    <w:unhideWhenUsed/>
    <w:pPr>
      <w:tabs>
        <w:tab w:val="center" w:pos="7143"/>
        <w:tab w:val="right" w:pos="14287"/>
      </w:tabs>
      <w:spacing w:after="0" w:line="240" w:lineRule="auto"/>
    </w:pPr>
  </w:style>
  <w:style w:type="paragraph" w:styleId="Piedepgina">
    <w:name w:val="footer"/>
    <w:basedOn w:val="Normal"/>
    <w:uiPriority w:val="99"/>
    <w:unhideWhenUsed/>
    <w:pPr>
      <w:tabs>
        <w:tab w:val="center" w:pos="7143"/>
        <w:tab w:val="right" w:pos="14287"/>
      </w:tabs>
      <w:spacing w:after="0" w:line="240" w:lineRule="auto"/>
    </w:pPr>
  </w:style>
  <w:style w:type="paragraph" w:styleId="Textonotapie">
    <w:name w:val="footnote text"/>
    <w:basedOn w:val="Normal"/>
    <w:uiPriority w:val="99"/>
    <w:semiHidden/>
    <w:unhideWhenUsed/>
    <w:pPr>
      <w:spacing w:after="40" w:line="240" w:lineRule="auto"/>
    </w:pPr>
    <w:rPr>
      <w:sz w:val="18"/>
    </w:rPr>
  </w:style>
  <w:style w:type="paragraph" w:styleId="Textonotaalfinal">
    <w:name w:val="endnote text"/>
    <w:basedOn w:val="Normal"/>
    <w:uiPriority w:val="99"/>
    <w:semiHidden/>
    <w:unhideWhenUsed/>
    <w:pPr>
      <w:spacing w:after="0" w:line="240" w:lineRule="auto"/>
    </w:pPr>
    <w:rPr>
      <w:sz w:val="20"/>
    </w:rPr>
  </w:style>
  <w:style w:type="paragraph" w:styleId="TDC1">
    <w:name w:val="toc 1"/>
    <w:basedOn w:val="Normal"/>
    <w:uiPriority w:val="39"/>
    <w:unhideWhenUsed/>
    <w:pPr>
      <w:spacing w:after="57"/>
    </w:pPr>
  </w:style>
  <w:style w:type="paragraph" w:styleId="TDC2">
    <w:name w:val="toc 2"/>
    <w:basedOn w:val="Normal"/>
    <w:uiPriority w:val="39"/>
    <w:unhideWhenUsed/>
    <w:pPr>
      <w:spacing w:after="57"/>
      <w:ind w:left="283"/>
    </w:pPr>
  </w:style>
  <w:style w:type="paragraph" w:styleId="TDC3">
    <w:name w:val="toc 3"/>
    <w:basedOn w:val="Normal"/>
    <w:uiPriority w:val="39"/>
    <w:unhideWhenUsed/>
    <w:pPr>
      <w:spacing w:after="57"/>
      <w:ind w:left="567"/>
    </w:pPr>
  </w:style>
  <w:style w:type="paragraph" w:styleId="TDC4">
    <w:name w:val="toc 4"/>
    <w:basedOn w:val="Normal"/>
    <w:uiPriority w:val="39"/>
    <w:unhideWhenUsed/>
    <w:pPr>
      <w:spacing w:after="57"/>
      <w:ind w:left="850"/>
    </w:pPr>
  </w:style>
  <w:style w:type="paragraph" w:styleId="TDC5">
    <w:name w:val="toc 5"/>
    <w:basedOn w:val="Normal"/>
    <w:uiPriority w:val="39"/>
    <w:unhideWhenUsed/>
    <w:pPr>
      <w:spacing w:after="57"/>
      <w:ind w:left="1134"/>
    </w:pPr>
  </w:style>
  <w:style w:type="paragraph" w:styleId="TDC6">
    <w:name w:val="toc 6"/>
    <w:basedOn w:val="Normal"/>
    <w:uiPriority w:val="39"/>
    <w:unhideWhenUsed/>
    <w:pPr>
      <w:spacing w:after="57"/>
      <w:ind w:left="1417"/>
    </w:pPr>
  </w:style>
  <w:style w:type="paragraph" w:styleId="TDC7">
    <w:name w:val="toc 7"/>
    <w:basedOn w:val="Normal"/>
    <w:uiPriority w:val="39"/>
    <w:unhideWhenUsed/>
    <w:pPr>
      <w:spacing w:after="57"/>
      <w:ind w:left="1701"/>
    </w:pPr>
  </w:style>
  <w:style w:type="paragraph" w:styleId="TDC8">
    <w:name w:val="toc 8"/>
    <w:basedOn w:val="Normal"/>
    <w:uiPriority w:val="39"/>
    <w:unhideWhenUsed/>
    <w:pPr>
      <w:spacing w:after="57"/>
      <w:ind w:left="1984"/>
    </w:pPr>
  </w:style>
  <w:style w:type="paragraph" w:styleId="TDC9">
    <w:name w:val="toc 9"/>
    <w:basedOn w:val="Normal"/>
    <w:uiPriority w:val="39"/>
    <w:unhideWhenUsed/>
    <w:pPr>
      <w:spacing w:after="57"/>
      <w:ind w:left="2268"/>
    </w:pPr>
  </w:style>
  <w:style w:type="paragraph" w:styleId="Ttulodendice">
    <w:name w:val="index heading"/>
    <w:basedOn w:val="Heading"/>
  </w:style>
  <w:style w:type="paragraph" w:styleId="TtulodeTDC">
    <w:name w:val="TOC Heading"/>
    <w:uiPriority w:val="39"/>
    <w:unhideWhenUsed/>
    <w:qFormat/>
    <w:rPr>
      <w:rFonts w:asciiTheme="minorHAnsi" w:eastAsiaTheme="minorHAnsi" w:hAnsiTheme="minorHAnsi" w:cstheme="minorBidi"/>
      <w:lang w:eastAsia="en-US"/>
    </w:rPr>
  </w:style>
  <w:style w:type="paragraph" w:styleId="Tabladeilustraciones">
    <w:name w:val="table of figures"/>
    <w:basedOn w:val="Normal"/>
    <w:uiPriority w:val="99"/>
    <w:unhideWhenUsed/>
    <w:pPr>
      <w:spacing w:after="0"/>
    </w:pPr>
  </w:style>
  <w:style w:type="paragraph" w:styleId="Sinespaciado">
    <w:name w:val="No Spacing"/>
    <w:basedOn w:val="Normal"/>
    <w:uiPriority w:val="1"/>
    <w:qFormat/>
    <w:pPr>
      <w:spacing w:after="0" w:line="240" w:lineRule="auto"/>
    </w:pPr>
  </w:style>
  <w:style w:type="paragraph" w:styleId="Prrafodelista">
    <w:name w:val="List Paragraph"/>
    <w:basedOn w:val="Normal"/>
    <w:uiPriority w:val="34"/>
    <w:qFormat/>
    <w:pPr>
      <w:ind w:left="720"/>
      <w:contextualSpacing/>
    </w:pPr>
  </w:style>
  <w:style w:type="paragraph" w:styleId="NormalWeb">
    <w:name w:val="Normal (Web)"/>
    <w:basedOn w:val="Normal"/>
    <w:uiPriority w:val="99"/>
    <w:unhideWhenUsed/>
    <w:rsid w:val="00B05B70"/>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898035">
      <w:bodyDiv w:val="1"/>
      <w:marLeft w:val="0"/>
      <w:marRight w:val="0"/>
      <w:marTop w:val="0"/>
      <w:marBottom w:val="0"/>
      <w:divBdr>
        <w:top w:val="none" w:sz="0" w:space="0" w:color="auto"/>
        <w:left w:val="none" w:sz="0" w:space="0" w:color="auto"/>
        <w:bottom w:val="none" w:sz="0" w:space="0" w:color="auto"/>
        <w:right w:val="none" w:sz="0" w:space="0" w:color="auto"/>
      </w:divBdr>
    </w:div>
    <w:div w:id="433985391">
      <w:bodyDiv w:val="1"/>
      <w:marLeft w:val="0"/>
      <w:marRight w:val="0"/>
      <w:marTop w:val="0"/>
      <w:marBottom w:val="0"/>
      <w:divBdr>
        <w:top w:val="none" w:sz="0" w:space="0" w:color="auto"/>
        <w:left w:val="none" w:sz="0" w:space="0" w:color="auto"/>
        <w:bottom w:val="none" w:sz="0" w:space="0" w:color="auto"/>
        <w:right w:val="none" w:sz="0" w:space="0" w:color="auto"/>
      </w:divBdr>
    </w:div>
    <w:div w:id="631250011">
      <w:bodyDiv w:val="1"/>
      <w:marLeft w:val="0"/>
      <w:marRight w:val="0"/>
      <w:marTop w:val="0"/>
      <w:marBottom w:val="0"/>
      <w:divBdr>
        <w:top w:val="none" w:sz="0" w:space="0" w:color="auto"/>
        <w:left w:val="none" w:sz="0" w:space="0" w:color="auto"/>
        <w:bottom w:val="none" w:sz="0" w:space="0" w:color="auto"/>
        <w:right w:val="none" w:sz="0" w:space="0" w:color="auto"/>
      </w:divBdr>
    </w:div>
    <w:div w:id="682785570">
      <w:bodyDiv w:val="1"/>
      <w:marLeft w:val="0"/>
      <w:marRight w:val="0"/>
      <w:marTop w:val="0"/>
      <w:marBottom w:val="0"/>
      <w:divBdr>
        <w:top w:val="none" w:sz="0" w:space="0" w:color="auto"/>
        <w:left w:val="none" w:sz="0" w:space="0" w:color="auto"/>
        <w:bottom w:val="none" w:sz="0" w:space="0" w:color="auto"/>
        <w:right w:val="none" w:sz="0" w:space="0" w:color="auto"/>
      </w:divBdr>
    </w:div>
    <w:div w:id="889803240">
      <w:bodyDiv w:val="1"/>
      <w:marLeft w:val="0"/>
      <w:marRight w:val="0"/>
      <w:marTop w:val="0"/>
      <w:marBottom w:val="0"/>
      <w:divBdr>
        <w:top w:val="none" w:sz="0" w:space="0" w:color="auto"/>
        <w:left w:val="none" w:sz="0" w:space="0" w:color="auto"/>
        <w:bottom w:val="none" w:sz="0" w:space="0" w:color="auto"/>
        <w:right w:val="none" w:sz="0" w:space="0" w:color="auto"/>
      </w:divBdr>
    </w:div>
    <w:div w:id="895554696">
      <w:bodyDiv w:val="1"/>
      <w:marLeft w:val="0"/>
      <w:marRight w:val="0"/>
      <w:marTop w:val="0"/>
      <w:marBottom w:val="0"/>
      <w:divBdr>
        <w:top w:val="none" w:sz="0" w:space="0" w:color="auto"/>
        <w:left w:val="none" w:sz="0" w:space="0" w:color="auto"/>
        <w:bottom w:val="none" w:sz="0" w:space="0" w:color="auto"/>
        <w:right w:val="none" w:sz="0" w:space="0" w:color="auto"/>
      </w:divBdr>
    </w:div>
    <w:div w:id="1109662262">
      <w:bodyDiv w:val="1"/>
      <w:marLeft w:val="0"/>
      <w:marRight w:val="0"/>
      <w:marTop w:val="0"/>
      <w:marBottom w:val="0"/>
      <w:divBdr>
        <w:top w:val="none" w:sz="0" w:space="0" w:color="auto"/>
        <w:left w:val="none" w:sz="0" w:space="0" w:color="auto"/>
        <w:bottom w:val="none" w:sz="0" w:space="0" w:color="auto"/>
        <w:right w:val="none" w:sz="0" w:space="0" w:color="auto"/>
      </w:divBdr>
    </w:div>
    <w:div w:id="1171021328">
      <w:bodyDiv w:val="1"/>
      <w:marLeft w:val="0"/>
      <w:marRight w:val="0"/>
      <w:marTop w:val="0"/>
      <w:marBottom w:val="0"/>
      <w:divBdr>
        <w:top w:val="none" w:sz="0" w:space="0" w:color="auto"/>
        <w:left w:val="none" w:sz="0" w:space="0" w:color="auto"/>
        <w:bottom w:val="none" w:sz="0" w:space="0" w:color="auto"/>
        <w:right w:val="none" w:sz="0" w:space="0" w:color="auto"/>
      </w:divBdr>
    </w:div>
    <w:div w:id="1414353240">
      <w:bodyDiv w:val="1"/>
      <w:marLeft w:val="0"/>
      <w:marRight w:val="0"/>
      <w:marTop w:val="0"/>
      <w:marBottom w:val="0"/>
      <w:divBdr>
        <w:top w:val="none" w:sz="0" w:space="0" w:color="auto"/>
        <w:left w:val="none" w:sz="0" w:space="0" w:color="auto"/>
        <w:bottom w:val="none" w:sz="0" w:space="0" w:color="auto"/>
        <w:right w:val="none" w:sz="0" w:space="0" w:color="auto"/>
      </w:divBdr>
    </w:div>
    <w:div w:id="1651905181">
      <w:bodyDiv w:val="1"/>
      <w:marLeft w:val="0"/>
      <w:marRight w:val="0"/>
      <w:marTop w:val="0"/>
      <w:marBottom w:val="0"/>
      <w:divBdr>
        <w:top w:val="none" w:sz="0" w:space="0" w:color="auto"/>
        <w:left w:val="none" w:sz="0" w:space="0" w:color="auto"/>
        <w:bottom w:val="none" w:sz="0" w:space="0" w:color="auto"/>
        <w:right w:val="none" w:sz="0" w:space="0" w:color="auto"/>
      </w:divBdr>
    </w:div>
    <w:div w:id="1724324506">
      <w:bodyDiv w:val="1"/>
      <w:marLeft w:val="0"/>
      <w:marRight w:val="0"/>
      <w:marTop w:val="0"/>
      <w:marBottom w:val="0"/>
      <w:divBdr>
        <w:top w:val="none" w:sz="0" w:space="0" w:color="auto"/>
        <w:left w:val="none" w:sz="0" w:space="0" w:color="auto"/>
        <w:bottom w:val="none" w:sz="0" w:space="0" w:color="auto"/>
        <w:right w:val="none" w:sz="0" w:space="0" w:color="auto"/>
      </w:divBdr>
    </w:div>
    <w:div w:id="1756629031">
      <w:bodyDiv w:val="1"/>
      <w:marLeft w:val="0"/>
      <w:marRight w:val="0"/>
      <w:marTop w:val="0"/>
      <w:marBottom w:val="0"/>
      <w:divBdr>
        <w:top w:val="none" w:sz="0" w:space="0" w:color="auto"/>
        <w:left w:val="none" w:sz="0" w:space="0" w:color="auto"/>
        <w:bottom w:val="none" w:sz="0" w:space="0" w:color="auto"/>
        <w:right w:val="none" w:sz="0" w:space="0" w:color="auto"/>
      </w:divBdr>
    </w:div>
    <w:div w:id="1851991299">
      <w:bodyDiv w:val="1"/>
      <w:marLeft w:val="0"/>
      <w:marRight w:val="0"/>
      <w:marTop w:val="0"/>
      <w:marBottom w:val="0"/>
      <w:divBdr>
        <w:top w:val="none" w:sz="0" w:space="0" w:color="auto"/>
        <w:left w:val="none" w:sz="0" w:space="0" w:color="auto"/>
        <w:bottom w:val="none" w:sz="0" w:space="0" w:color="auto"/>
        <w:right w:val="none" w:sz="0" w:space="0" w:color="auto"/>
      </w:divBdr>
    </w:div>
    <w:div w:id="18632024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cleanclothes.org/file-repository/legal_brief_on_accord_-_august_2021_-_final.pdf/vie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New 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Arial"/>
        <a:cs typeface="Arial"/>
      </a:majorFont>
      <a:minorFont>
        <a:latin typeface="Arial"/>
        <a:ea typeface="Arial"/>
        <a:cs typeface="Arial"/>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a:gradFill>
        <a:gradFill>
          <a:gsLst>
            <a:gs pos="0">
              <a:schemeClr val="phClr">
                <a:shade val="51000"/>
              </a:schemeClr>
            </a:gs>
            <a:gs pos="80000">
              <a:schemeClr val="phClr">
                <a:shade val="93000"/>
              </a:schemeClr>
            </a:gs>
            <a:gs pos="100000">
              <a:schemeClr val="phClr">
                <a:shade val="94000"/>
              </a:schemeClr>
            </a:gs>
          </a:gsLst>
          <a:lin ang="16200000" scaled="0"/>
          <a:tileRect/>
        </a:gradFill>
      </a:fillStyleLst>
      <a:lnStyleLst>
        <a:ln w="6350" cap="flat" cmpd="sng" algn="ctr"/>
        <a:ln w="12700" cap="flat" cmpd="sng" algn="ctr"/>
        <a:ln w="19050" cap="flat" cmpd="sng" algn="ctr"/>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a:path>
          <a:tileRect/>
        </a:gradFill>
        <a:gradFill>
          <a:gsLst>
            <a:gs pos="0">
              <a:schemeClr val="phClr">
                <a:tint val="80000"/>
              </a:schemeClr>
            </a:gs>
            <a:gs pos="100000">
              <a:schemeClr val="phClr">
                <a:shade val="30000"/>
              </a:schemeClr>
            </a:gs>
          </a:gsLst>
          <a:path path="circle">
            <a:fillToRect/>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sqQ2t6w3e8axmsrGVcAKiq3v+ew==">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3</Pages>
  <Words>1743</Words>
  <Characters>9588</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11309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c:creator>
  <cp:lastModifiedBy>Eva</cp:lastModifiedBy>
  <cp:revision>5</cp:revision>
  <dcterms:created xsi:type="dcterms:W3CDTF">2024-04-22T08:58:00Z</dcterms:created>
  <dcterms:modified xsi:type="dcterms:W3CDTF">2024-04-22T10:46:00Z</dcterms:modified>
</cp:coreProperties>
</file>