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rPr>
          <w:b/>
        </w:rPr>
      </w:pPr>
      <w:r>
        <w:rPr>
          <w:b/>
          <w:rtl w:val="0"/>
        </w:rPr>
        <w:t xml:space="preserve">The Clean Clothes Campaign stands in solidarity with the workers of Palestine on Nakba Day 2024</w:t>
      </w:r>
      <w:r>
        <w:rPr>
          <w:b/>
        </w:rPr>
      </w:r>
      <w:r>
        <w:rPr>
          <w:b/>
        </w:rPr>
      </w:r>
    </w:p>
    <w:p>
      <w:pPr>
        <w:pBdr/>
        <w:spacing w:after="240" w:before="240"/>
        <w:ind/>
        <w:jc w:val="both"/>
        <w:rPr/>
      </w:pPr>
      <w:r>
        <w:rPr>
          <w:rtl w:val="0"/>
        </w:rPr>
        <w:t xml:space="preserve">As a global network of over 220 organisations in 45 countries organising to structurally improve working conditions and build the power of manufacturing workers in global garment and sportswear supply chains, we respond to the call from</w:t>
      </w:r>
      <w:hyperlink r:id="rId8" w:tooltip="https://www.workersinpalestine.org/news/strike-for-palestine" w:history="1">
        <w:r>
          <w:rPr>
            <w:color w:val="1155cc"/>
            <w:u w:val="single"/>
            <w:rtl w:val="0"/>
          </w:rPr>
          <w:t xml:space="preserve"> the Palestinian General Federation of Trade Unions for international solidarity on Nakba</w:t>
        </w:r>
      </w:hyperlink>
      <w:r>
        <w:rPr>
          <w:rtl w:val="0"/>
        </w:rPr>
        <w:t xml:space="preserve"> day to “raise our voices and take action to disrupt the flow of commerce and trade that sustains Israel’s military colonisation of the palestinian occupied </w:t>
      </w:r>
      <w:r>
        <w:rPr>
          <w:rtl w:val="0"/>
        </w:rPr>
        <w:t xml:space="preserve">teritory</w:t>
      </w:r>
      <w:r>
        <w:rPr>
          <w:rtl w:val="0"/>
        </w:rPr>
        <w:t xml:space="preserve"> and exploitation of Palestinian workers”.</w:t>
      </w:r>
      <w:r/>
    </w:p>
    <w:p>
      <w:pPr>
        <w:pBdr/>
        <w:spacing w:after="240" w:before="240"/>
        <w:ind/>
        <w:jc w:val="both"/>
        <w:rPr/>
      </w:pPr>
      <w:r>
        <w:rPr>
          <w:rtl w:val="0"/>
        </w:rPr>
        <w:t xml:space="preserve">As a network supporting workers’ struggle and fighting corporate impunity in the garment sector, we are taking the following steps to respond to the call for solidarity from workers i</w:t>
      </w:r>
      <w:r>
        <w:rPr>
          <w:rtl w:val="0"/>
        </w:rPr>
        <w:t xml:space="preserve">n Palestine: to campaign against brands profiting from Israel’s occupation of the Palestinian territories; and to take action against the manufacture, transportation and handling of garments used by the Israeli state for warfare, occupation and apartheid. </w:t>
      </w:r>
      <w:r/>
    </w:p>
    <w:p>
      <w:pPr>
        <w:pBdr/>
        <w:spacing w:after="240" w:before="240"/>
        <w:ind/>
        <w:jc w:val="both"/>
        <w:rPr>
          <w:sz w:val="26"/>
          <w:szCs w:val="26"/>
        </w:rPr>
      </w:pPr>
      <w:r>
        <w:rPr>
          <w:rtl w:val="0"/>
        </w:rPr>
        <w:t xml:space="preserve">As labour and human rights defenders, we join the international labour movement and others in urging Israel to comply with the ICJ's Order to take immediate steps to prevent acts of genocide, punish incitement </w:t>
      </w:r>
      <w:r>
        <w:rPr>
          <w:rtl w:val="0"/>
        </w:rPr>
        <w:t xml:space="preserve">to genocide, and facilitate the provision of basic services and humanitarian assistance to Palestinians in Gaza. We are also deeply concerned by the escalating settler violence in the occupied Palestinian territory. We support the calls for an immedia</w:t>
      </w:r>
      <w:r>
        <w:rPr>
          <w:rtl w:val="0"/>
        </w:rPr>
        <w:t xml:space="preserve">te and permanent ceasefire, the protection of all civilians and the release of those in captivity, including thousands of Palestinians in Israeli imprisonment. We also support the investigation into and punishment of war crimes and crimes against humanity.</w:t>
      </w:r>
      <w:r>
        <w:rPr>
          <w:sz w:val="26"/>
          <w:szCs w:val="26"/>
        </w:rPr>
      </w:r>
      <w:r>
        <w:rPr>
          <w:sz w:val="26"/>
          <w:szCs w:val="26"/>
        </w:rPr>
      </w:r>
    </w:p>
    <w:p>
      <w:pPr>
        <w:pBdr/>
        <w:spacing w:after="240" w:before="240"/>
        <w:ind/>
        <w:jc w:val="both"/>
        <w:rPr/>
      </w:pPr>
      <w:r>
        <w:rPr>
          <w:rtl w:val="0"/>
        </w:rPr>
        <w:t xml:space="preserve">The deteriorating and </w:t>
      </w:r>
      <w:hyperlink r:id="rId9" w:tooltip="https://www.ohchr.org/sites/default/files/documents/hrbodies/hrcouncil/sessions-regular/session55/advance-versions/a-hrc-55-73-auv.pdf" w:history="1">
        <w:r>
          <w:rPr>
            <w:color w:val="1155cc"/>
            <w:u w:val="single"/>
            <w:rtl w:val="0"/>
          </w:rPr>
          <w:t xml:space="preserve">devastating</w:t>
        </w:r>
      </w:hyperlink>
      <w:r>
        <w:rPr>
          <w:rtl w:val="0"/>
        </w:rPr>
        <w:t xml:space="preserve"> situation that confronts Palest</w:t>
      </w:r>
      <w:r>
        <w:rPr>
          <w:rtl w:val="0"/>
        </w:rPr>
        <w:t xml:space="preserve">i</w:t>
      </w:r>
      <w:r>
        <w:rPr>
          <w:rtl w:val="0"/>
        </w:rPr>
        <w:t xml:space="preserve">nian workers must stop. Israel has to comply with its international legal obligations and respect the Palestinian right to self-determination. Third States must stop aiding and abetting Israel in its constant violations of international law. States have an</w:t>
      </w:r>
      <w:r>
        <w:rPr>
          <w:rtl w:val="0"/>
        </w:rPr>
        <w:t xml:space="preserve"> </w:t>
      </w:r>
      <w:hyperlink r:id="rId10" w:tooltip="https://www.icj-cij.org/sites/default/files/case-related/131/131-20040709-ADV-01-00-EN.pdf" w:history="1">
        <w:r>
          <w:rPr>
            <w:color w:val="1155cc"/>
            <w:u w:val="single"/>
            <w:rtl w:val="0"/>
          </w:rPr>
          <w:t xml:space="preserve">obligation not to recognize the settler colonisation of the occupied Palestinian territory</w:t>
        </w:r>
      </w:hyperlink>
      <w:r>
        <w:rPr>
          <w:rtl w:val="0"/>
        </w:rPr>
        <w:t xml:space="preserve"> and to take all measures in their power to ensure the respect of international humanitarian law by Israel. They also must take </w:t>
      </w:r>
      <w:hyperlink r:id="rId11" w:tooltip="https://www.icj-cij.org/sites/default/files/case-related/192/192-20240126-ord-01-00-en.pdf" w:history="1">
        <w:r>
          <w:rPr>
            <w:color w:val="1155cc"/>
            <w:u w:val="single"/>
            <w:rtl w:val="0"/>
          </w:rPr>
          <w:t xml:space="preserve">all measures in their power to prevent </w:t>
        </w:r>
      </w:hyperlink>
      <w:r/>
      <w:hyperlink r:id="rId12" w:tooltip="https://www.icj-cij.org/sites/default/files/case-related/192/192-20240126-ord-01-00-en.pdf" w:history="1">
        <w:r>
          <w:rPr>
            <w:color w:val="1155cc"/>
            <w:u w:val="single"/>
            <w:rtl w:val="0"/>
          </w:rPr>
          <w:t xml:space="preserve">ongoing genocide</w:t>
        </w:r>
      </w:hyperlink>
      <w:r/>
      <w:hyperlink r:id="rId13" w:tooltip="https://www.icj-cij.org/sites/default/files/case-related/192/192-20240126-ord-01-00-en.pdf" w:history="1">
        <w:r>
          <w:rPr>
            <w:color w:val="1155cc"/>
            <w:u w:val="single"/>
            <w:rtl w:val="0"/>
          </w:rPr>
          <w:t xml:space="preserve"> in Gaza</w:t>
        </w:r>
      </w:hyperlink>
      <w:r>
        <w:rPr>
          <w:rtl w:val="0"/>
        </w:rPr>
        <w:t xml:space="preserve"> and to ensure that all Palestinians are protected. </w:t>
      </w:r>
      <w:r/>
    </w:p>
    <w:p>
      <w:pPr>
        <w:pBdr/>
        <w:spacing w:after="240" w:before="240"/>
        <w:ind/>
        <w:jc w:val="both"/>
        <w:rPr/>
      </w:pPr>
      <w:r>
        <w:rPr>
          <w:rtl w:val="0"/>
        </w:rPr>
        <w:t xml:space="preserve">Companies that supply </w:t>
      </w:r>
      <w:hyperlink r:id="rId14" w:tooltip="https://www.ohchr.org/en/hr-bodies/hrc/regular-sessions/session31/database-hrc3136" w:history="1">
        <w:r>
          <w:rPr>
            <w:color w:val="1155cc"/>
            <w:u w:val="single"/>
            <w:rtl w:val="0"/>
          </w:rPr>
          <w:t xml:space="preserve">equipment or material that facilitates the expansion, development or maintenance </w:t>
        </w:r>
      </w:hyperlink>
      <w:r>
        <w:rPr>
          <w:rtl w:val="0"/>
        </w:rPr>
        <w:t xml:space="preserve">of settler </w:t>
      </w:r>
      <w:r>
        <w:rPr>
          <w:rtl w:val="0"/>
        </w:rPr>
        <w:t xml:space="preserve">colonialism </w:t>
      </w:r>
      <w:r>
        <w:rPr>
          <w:rtl w:val="0"/>
        </w:rPr>
        <w:t xml:space="preserve">are complicit in a war crime and should be held accountable. Companies that are providing military garments fall in that category, as do companies that are profiting from the </w:t>
      </w:r>
      <w:r>
        <w:rPr>
          <w:rtl w:val="0"/>
        </w:rPr>
        <w:t xml:space="preserve">institutionalized regime of systematic oppression and domination </w:t>
      </w:r>
      <w:r>
        <w:rPr>
          <w:rtl w:val="0"/>
        </w:rPr>
        <w:t xml:space="preserve">that</w:t>
      </w:r>
      <w:r>
        <w:rPr>
          <w:rtl w:val="0"/>
        </w:rPr>
        <w:t xml:space="preserve"> exploits Palestinian workers and uses natural resources in violation of the Palestinian right to self-determination. </w:t>
      </w:r>
      <w:hyperlink r:id="rId15" w:tooltip="https://www.business-humanrights.org/fr/derni%C3%A8res-actualit%C3%A9s/palestineisrael-israeli-manufacturing-companies-reportedly-employing-garment-workers-in-gaza-on-low-wages-amid-high-employment-rates/" w:history="1">
        <w:r>
          <w:rPr>
            <w:color w:val="1155cc"/>
            <w:u w:val="single"/>
            <w:rtl w:val="0"/>
          </w:rPr>
          <w:t xml:space="preserve">Garment factories that employ Palestinian workers on low wages</w:t>
        </w:r>
      </w:hyperlink>
      <w:r>
        <w:rPr>
          <w:rtl w:val="0"/>
        </w:rPr>
        <w:t xml:space="preserve"> are also complicit in Israeli crimes. </w:t>
      </w:r>
      <w:r/>
    </w:p>
    <w:p>
      <w:pPr>
        <w:pBdr/>
        <w:spacing w:after="240" w:before="240"/>
        <w:ind/>
        <w:jc w:val="both"/>
        <w:rPr/>
      </w:pPr>
      <w:r>
        <w:rPr>
          <w:rtl w:val="0"/>
        </w:rPr>
        <w:t xml:space="preserve">Our action is in line with the call of the PGFTU and Palestinian workers for a decent living, free from settler colonialism and military occupation.</w:t>
      </w:r>
      <w:r>
        <w:rPr>
          <w:rtl w:val="0"/>
        </w:rPr>
      </w:r>
      <w:r/>
    </w:p>
    <w:sectPr>
      <w:footnotePr/>
      <w:endnotePr/>
      <w:type w:val="nextPage"/>
      <w:pgSz w:h="16838" w:orient="landscape" w:w="11906"/>
      <w:pgMar w:top="1133" w:right="1133" w:bottom="1133" w:left="1133" w:header="720" w:footer="720" w:gutter="0"/>
      <w:pgNumType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rPr>
    </w:rPrDefault>
    <w:pPrDefault>
      <w:pPr>
        <w:pBdr/>
        <w:spacing w:after="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0">
    <w:name w:val="Heading 1 Char"/>
    <w:link w:val="833"/>
    <w:uiPriority w:val="9"/>
    <w:pPr>
      <w:pBdr/>
      <w:spacing/>
      <w:ind/>
    </w:pPr>
    <w:rPr>
      <w:rFonts w:ascii="Arial" w:hAnsi="Arial" w:eastAsia="Arial" w:cs="Arial"/>
      <w:sz w:val="40"/>
      <w:szCs w:val="40"/>
    </w:rPr>
  </w:style>
  <w:style w:type="character" w:styleId="661">
    <w:name w:val="Heading 2 Char"/>
    <w:link w:val="834"/>
    <w:uiPriority w:val="9"/>
    <w:pPr>
      <w:pBdr/>
      <w:spacing/>
      <w:ind/>
    </w:pPr>
    <w:rPr>
      <w:rFonts w:ascii="Arial" w:hAnsi="Arial" w:eastAsia="Arial" w:cs="Arial"/>
      <w:sz w:val="34"/>
    </w:rPr>
  </w:style>
  <w:style w:type="character" w:styleId="662">
    <w:name w:val="Heading 3 Char"/>
    <w:link w:val="835"/>
    <w:uiPriority w:val="9"/>
    <w:pPr>
      <w:pBdr/>
      <w:spacing/>
      <w:ind/>
    </w:pPr>
    <w:rPr>
      <w:rFonts w:ascii="Arial" w:hAnsi="Arial" w:eastAsia="Arial" w:cs="Arial"/>
      <w:sz w:val="30"/>
      <w:szCs w:val="30"/>
    </w:rPr>
  </w:style>
  <w:style w:type="character" w:styleId="663">
    <w:name w:val="Heading 4 Char"/>
    <w:link w:val="836"/>
    <w:uiPriority w:val="9"/>
    <w:pPr>
      <w:pBdr/>
      <w:spacing/>
      <w:ind/>
    </w:pPr>
    <w:rPr>
      <w:rFonts w:ascii="Arial" w:hAnsi="Arial" w:eastAsia="Arial" w:cs="Arial"/>
      <w:b/>
      <w:bCs/>
      <w:sz w:val="26"/>
      <w:szCs w:val="26"/>
    </w:rPr>
  </w:style>
  <w:style w:type="character" w:styleId="664">
    <w:name w:val="Heading 5 Char"/>
    <w:link w:val="837"/>
    <w:uiPriority w:val="9"/>
    <w:pPr>
      <w:pBdr/>
      <w:spacing/>
      <w:ind/>
    </w:pPr>
    <w:rPr>
      <w:rFonts w:ascii="Arial" w:hAnsi="Arial" w:eastAsia="Arial" w:cs="Arial"/>
      <w:b/>
      <w:bCs/>
      <w:sz w:val="24"/>
      <w:szCs w:val="24"/>
    </w:rPr>
  </w:style>
  <w:style w:type="character" w:styleId="665">
    <w:name w:val="Heading 6 Char"/>
    <w:link w:val="838"/>
    <w:uiPriority w:val="9"/>
    <w:pPr>
      <w:pBdr/>
      <w:spacing/>
      <w:ind/>
    </w:pPr>
    <w:rPr>
      <w:rFonts w:ascii="Arial" w:hAnsi="Arial" w:eastAsia="Arial" w:cs="Arial"/>
      <w:b/>
      <w:bCs/>
      <w:sz w:val="22"/>
      <w:szCs w:val="22"/>
    </w:rPr>
  </w:style>
  <w:style w:type="paragraph" w:styleId="666">
    <w:name w:val="Heading 7"/>
    <w:basedOn w:val="831"/>
    <w:next w:val="831"/>
    <w:link w:val="667"/>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67">
    <w:name w:val="Heading 7 Char"/>
    <w:link w:val="666"/>
    <w:uiPriority w:val="9"/>
    <w:pPr>
      <w:pBdr/>
      <w:spacing/>
      <w:ind/>
    </w:pPr>
    <w:rPr>
      <w:rFonts w:ascii="Arial" w:hAnsi="Arial" w:eastAsia="Arial" w:cs="Arial"/>
      <w:b/>
      <w:bCs/>
      <w:i/>
      <w:iCs/>
      <w:sz w:val="22"/>
      <w:szCs w:val="22"/>
    </w:rPr>
  </w:style>
  <w:style w:type="paragraph" w:styleId="668">
    <w:name w:val="Heading 8"/>
    <w:basedOn w:val="831"/>
    <w:next w:val="831"/>
    <w:link w:val="669"/>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69">
    <w:name w:val="Heading 8 Char"/>
    <w:link w:val="668"/>
    <w:uiPriority w:val="9"/>
    <w:pPr>
      <w:pBdr/>
      <w:spacing/>
      <w:ind/>
    </w:pPr>
    <w:rPr>
      <w:rFonts w:ascii="Arial" w:hAnsi="Arial" w:eastAsia="Arial" w:cs="Arial"/>
      <w:i/>
      <w:iCs/>
      <w:sz w:val="22"/>
      <w:szCs w:val="22"/>
    </w:rPr>
  </w:style>
  <w:style w:type="paragraph" w:styleId="670">
    <w:name w:val="Heading 9"/>
    <w:basedOn w:val="831"/>
    <w:next w:val="831"/>
    <w:link w:val="67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1">
    <w:name w:val="Heading 9 Char"/>
    <w:link w:val="670"/>
    <w:uiPriority w:val="9"/>
    <w:pPr>
      <w:pBdr/>
      <w:spacing/>
      <w:ind/>
    </w:pPr>
    <w:rPr>
      <w:rFonts w:ascii="Arial" w:hAnsi="Arial" w:eastAsia="Arial" w:cs="Arial"/>
      <w:i/>
      <w:iCs/>
      <w:sz w:val="21"/>
      <w:szCs w:val="21"/>
    </w:rPr>
  </w:style>
  <w:style w:type="paragraph" w:styleId="672">
    <w:name w:val="List Paragraph"/>
    <w:basedOn w:val="831"/>
    <w:uiPriority w:val="34"/>
    <w:qFormat/>
    <w:pPr>
      <w:pBdr/>
      <w:spacing/>
      <w:ind w:left="720"/>
      <w:contextualSpacing w:val="true"/>
    </w:pPr>
  </w:style>
  <w:style w:type="table" w:styleId="673">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74">
    <w:name w:val="No Spacing"/>
    <w:uiPriority w:val="1"/>
    <w:qFormat/>
    <w:pPr>
      <w:pBdr/>
      <w:spacing w:after="0" w:before="0" w:line="240" w:lineRule="auto"/>
      <w:ind/>
    </w:pPr>
  </w:style>
  <w:style w:type="character" w:styleId="675">
    <w:name w:val="Title Char"/>
    <w:link w:val="839"/>
    <w:uiPriority w:val="10"/>
    <w:pPr>
      <w:pBdr/>
      <w:spacing/>
      <w:ind/>
    </w:pPr>
    <w:rPr>
      <w:sz w:val="48"/>
      <w:szCs w:val="48"/>
    </w:rPr>
  </w:style>
  <w:style w:type="character" w:styleId="676">
    <w:name w:val="Subtitle Char"/>
    <w:link w:val="840"/>
    <w:uiPriority w:val="11"/>
    <w:pPr>
      <w:pBdr/>
      <w:spacing/>
      <w:ind/>
    </w:pPr>
    <w:rPr>
      <w:sz w:val="24"/>
      <w:szCs w:val="24"/>
    </w:rPr>
  </w:style>
  <w:style w:type="paragraph" w:styleId="677">
    <w:name w:val="Quote"/>
    <w:basedOn w:val="831"/>
    <w:next w:val="831"/>
    <w:link w:val="678"/>
    <w:uiPriority w:val="29"/>
    <w:qFormat/>
    <w:pPr>
      <w:pBdr/>
      <w:spacing/>
      <w:ind w:right="720" w:left="720"/>
    </w:pPr>
    <w:rPr>
      <w:i/>
    </w:rPr>
  </w:style>
  <w:style w:type="character" w:styleId="678">
    <w:name w:val="Quote Char"/>
    <w:link w:val="677"/>
    <w:uiPriority w:val="29"/>
    <w:pPr>
      <w:pBdr/>
      <w:spacing/>
      <w:ind/>
    </w:pPr>
    <w:rPr>
      <w:i/>
    </w:rPr>
  </w:style>
  <w:style w:type="paragraph" w:styleId="679">
    <w:name w:val="Intense Quote"/>
    <w:basedOn w:val="831"/>
    <w:next w:val="831"/>
    <w:link w:val="68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80">
    <w:name w:val="Intense Quote Char"/>
    <w:link w:val="679"/>
    <w:uiPriority w:val="30"/>
    <w:pPr>
      <w:pBdr/>
      <w:spacing/>
      <w:ind/>
    </w:pPr>
    <w:rPr>
      <w:i/>
    </w:rPr>
  </w:style>
  <w:style w:type="paragraph" w:styleId="681">
    <w:name w:val="Header"/>
    <w:basedOn w:val="831"/>
    <w:link w:val="682"/>
    <w:uiPriority w:val="99"/>
    <w:unhideWhenUsed/>
    <w:pPr>
      <w:pBdr/>
      <w:tabs>
        <w:tab w:val="center" w:leader="none" w:pos="7143"/>
        <w:tab w:val="right" w:leader="none" w:pos="14287"/>
      </w:tabs>
      <w:spacing w:after="0" w:line="240" w:lineRule="auto"/>
      <w:ind/>
    </w:pPr>
  </w:style>
  <w:style w:type="character" w:styleId="682">
    <w:name w:val="Header Char"/>
    <w:link w:val="681"/>
    <w:uiPriority w:val="99"/>
    <w:pPr>
      <w:pBdr/>
      <w:spacing/>
      <w:ind/>
    </w:pPr>
  </w:style>
  <w:style w:type="paragraph" w:styleId="683">
    <w:name w:val="Footer"/>
    <w:basedOn w:val="831"/>
    <w:link w:val="686"/>
    <w:uiPriority w:val="99"/>
    <w:unhideWhenUsed/>
    <w:pPr>
      <w:pBdr/>
      <w:tabs>
        <w:tab w:val="center" w:leader="none" w:pos="7143"/>
        <w:tab w:val="right" w:leader="none" w:pos="14287"/>
      </w:tabs>
      <w:spacing w:after="0" w:line="240" w:lineRule="auto"/>
      <w:ind/>
    </w:pPr>
  </w:style>
  <w:style w:type="character" w:styleId="684">
    <w:name w:val="Footer Char"/>
    <w:link w:val="683"/>
    <w:uiPriority w:val="99"/>
    <w:pPr>
      <w:pBdr/>
      <w:spacing/>
      <w:ind/>
    </w:pPr>
  </w:style>
  <w:style w:type="paragraph" w:styleId="685">
    <w:name w:val="Caption"/>
    <w:basedOn w:val="831"/>
    <w:next w:val="831"/>
    <w:uiPriority w:val="35"/>
    <w:semiHidden/>
    <w:unhideWhenUsed/>
    <w:qFormat/>
    <w:pPr>
      <w:pBdr/>
      <w:spacing w:line="276" w:lineRule="auto"/>
      <w:ind/>
    </w:pPr>
    <w:rPr>
      <w:b/>
      <w:bCs/>
      <w:color w:val="4f81bd" w:themeColor="accent1"/>
      <w:sz w:val="18"/>
      <w:szCs w:val="18"/>
    </w:rPr>
  </w:style>
  <w:style w:type="character" w:styleId="686">
    <w:name w:val="Caption Char"/>
    <w:basedOn w:val="685"/>
    <w:link w:val="683"/>
    <w:uiPriority w:val="99"/>
    <w:pPr>
      <w:pBdr/>
      <w:spacing/>
      <w:ind/>
    </w:pPr>
  </w:style>
  <w:style w:type="table" w:styleId="687">
    <w:name w:val="Table Grid"/>
    <w:basedOn w:val="673"/>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8">
    <w:name w:val="Table Grid Light"/>
    <w:basedOn w:val="67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9">
    <w:name w:val="Plain Table 1"/>
    <w:basedOn w:val="67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0">
    <w:name w:val="Plain Table 2"/>
    <w:basedOn w:val="67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Plain Table 3"/>
    <w:basedOn w:val="67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4"/>
    <w:basedOn w:val="67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Plain Table 5"/>
    <w:basedOn w:val="67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Grid Table 1 Light"/>
    <w:basedOn w:val="67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Grid Table 1 Light - Accent 1"/>
    <w:basedOn w:val="67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Grid Table 1 Light - Accent 2"/>
    <w:basedOn w:val="67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 Accent 3"/>
    <w:basedOn w:val="67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4"/>
    <w:basedOn w:val="67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5"/>
    <w:basedOn w:val="67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1 Light - Accent 6"/>
    <w:basedOn w:val="67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2"/>
    <w:basedOn w:val="67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2 - Accent 1"/>
    <w:basedOn w:val="67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2 - Accent 2"/>
    <w:basedOn w:val="67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 Accent 3"/>
    <w:basedOn w:val="67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4"/>
    <w:basedOn w:val="67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5"/>
    <w:basedOn w:val="67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2 - Accent 6"/>
    <w:basedOn w:val="67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3"/>
    <w:basedOn w:val="67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3 - Accent 1"/>
    <w:basedOn w:val="67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3 - Accent 2"/>
    <w:basedOn w:val="67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 Accent 3"/>
    <w:basedOn w:val="67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4"/>
    <w:basedOn w:val="67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5"/>
    <w:basedOn w:val="67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3 - Accent 6"/>
    <w:basedOn w:val="67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4"/>
    <w:basedOn w:val="67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4 - Accent 1"/>
    <w:basedOn w:val="67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4 - Accent 2"/>
    <w:basedOn w:val="67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 Accent 3"/>
    <w:basedOn w:val="67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4"/>
    <w:basedOn w:val="67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5"/>
    <w:basedOn w:val="67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4 - Accent 6"/>
    <w:basedOn w:val="67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5 Dark"/>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5 Dark- Accent 1"/>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5 Dark - Accent 2"/>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 Accent 3"/>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Accent 4"/>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 Accent 5"/>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5 Dark - Accent 6"/>
    <w:basedOn w:val="67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6 Colorful"/>
    <w:basedOn w:val="67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30">
    <w:name w:val="Grid Table 6 Colorful - Accent 1"/>
    <w:basedOn w:val="67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1">
    <w:name w:val="Grid Table 6 Colorful - Accent 2"/>
    <w:basedOn w:val="67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2">
    <w:name w:val="Grid Table 6 Colorful - Accent 3"/>
    <w:basedOn w:val="67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3">
    <w:name w:val="Grid Table 6 Colorful - Accent 4"/>
    <w:basedOn w:val="67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4">
    <w:name w:val="Grid Table 6 Colorful - Accent 5"/>
    <w:basedOn w:val="67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5">
    <w:name w:val="Grid Table 6 Colorful - Accent 6"/>
    <w:basedOn w:val="67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6">
    <w:name w:val="Grid Table 7 Colorful"/>
    <w:basedOn w:val="67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7 Colorful - Accent 1"/>
    <w:basedOn w:val="67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7 Colorful - Accent 2"/>
    <w:basedOn w:val="67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7 Colorful - Accent 3"/>
    <w:basedOn w:val="67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4"/>
    <w:basedOn w:val="67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5"/>
    <w:basedOn w:val="67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7 Colorful - Accent 6"/>
    <w:basedOn w:val="67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List Table 1 Light"/>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1 Light - Accent 1"/>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1 Light - Accent 2"/>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 Accent 3"/>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4"/>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5"/>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1 Light - Accent 6"/>
    <w:basedOn w:val="67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2"/>
    <w:basedOn w:val="67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2 - Accent 1"/>
    <w:basedOn w:val="67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2 - Accent 2"/>
    <w:basedOn w:val="67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 Accent 3"/>
    <w:basedOn w:val="67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4"/>
    <w:basedOn w:val="67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5"/>
    <w:basedOn w:val="67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2 - Accent 6"/>
    <w:basedOn w:val="67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3"/>
    <w:basedOn w:val="67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3 - Accent 1"/>
    <w:basedOn w:val="67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3 - Accent 2"/>
    <w:basedOn w:val="67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 Accent 3"/>
    <w:basedOn w:val="67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4"/>
    <w:basedOn w:val="67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5"/>
    <w:basedOn w:val="67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3 - Accent 6"/>
    <w:basedOn w:val="67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4"/>
    <w:basedOn w:val="67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4 - Accent 1"/>
    <w:basedOn w:val="67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4 - Accent 2"/>
    <w:basedOn w:val="67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 Accent 3"/>
    <w:basedOn w:val="67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4"/>
    <w:basedOn w:val="67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5"/>
    <w:basedOn w:val="67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4 - Accent 6"/>
    <w:basedOn w:val="67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5 Dark"/>
    <w:basedOn w:val="67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2">
    <w:name w:val="List Table 5 Dark - Accent 1"/>
    <w:basedOn w:val="67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3">
    <w:name w:val="List Table 5 Dark - Accent 2"/>
    <w:basedOn w:val="67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4">
    <w:name w:val="List Table 5 Dark - Accent 3"/>
    <w:basedOn w:val="67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4"/>
    <w:basedOn w:val="67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5"/>
    <w:basedOn w:val="67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5 Dark - Accent 6"/>
    <w:basedOn w:val="67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8">
    <w:name w:val="List Table 6 Colorful"/>
    <w:basedOn w:val="67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6 Colorful - Accent 1"/>
    <w:basedOn w:val="67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6 Colorful - Accent 2"/>
    <w:basedOn w:val="67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6 Colorful - Accent 3"/>
    <w:basedOn w:val="67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4"/>
    <w:basedOn w:val="67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5"/>
    <w:basedOn w:val="67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6 Colorful - Accent 6"/>
    <w:basedOn w:val="67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7 Colorful"/>
    <w:basedOn w:val="67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6">
    <w:name w:val="List Table 7 Colorful - Accent 1"/>
    <w:basedOn w:val="67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787">
    <w:name w:val="List Table 7 Colorful - Accent 2"/>
    <w:basedOn w:val="67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788">
    <w:name w:val="List Table 7 Colorful - Accent 3"/>
    <w:basedOn w:val="67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789">
    <w:name w:val="List Table 7 Colorful - Accent 4"/>
    <w:basedOn w:val="67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790">
    <w:name w:val="List Table 7 Colorful - Accent 5"/>
    <w:basedOn w:val="67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791">
    <w:name w:val="List Table 7 Colorful - Accent 6"/>
    <w:basedOn w:val="67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792">
    <w:name w:val="Lined - Accent"/>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ned - Accent 1"/>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ned - Accent 2"/>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ned - Accent 3"/>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4"/>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5"/>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ned - Accent 6"/>
    <w:basedOn w:val="67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Bordered &amp; Lined - Accent"/>
    <w:basedOn w:val="67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Bordered &amp; Lined - Accent 1"/>
    <w:basedOn w:val="67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Bordered &amp; Lined - Accent 2"/>
    <w:basedOn w:val="67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3"/>
    <w:basedOn w:val="67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4"/>
    <w:basedOn w:val="67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5"/>
    <w:basedOn w:val="67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amp; Lined - Accent 6"/>
    <w:basedOn w:val="67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w:basedOn w:val="67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 Accent 1"/>
    <w:basedOn w:val="67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 Accent 2"/>
    <w:basedOn w:val="67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 Accent 3"/>
    <w:basedOn w:val="67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4"/>
    <w:basedOn w:val="67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5"/>
    <w:basedOn w:val="67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 Accent 6"/>
    <w:basedOn w:val="67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3">
    <w:name w:val="Hyperlink"/>
    <w:uiPriority w:val="99"/>
    <w:unhideWhenUsed/>
    <w:pPr>
      <w:pBdr/>
      <w:spacing/>
      <w:ind/>
    </w:pPr>
    <w:rPr>
      <w:color w:val="0000ff" w:themeColor="hyperlink"/>
      <w:u w:val="single"/>
    </w:rPr>
  </w:style>
  <w:style w:type="paragraph" w:styleId="814">
    <w:name w:val="footnote text"/>
    <w:basedOn w:val="831"/>
    <w:link w:val="815"/>
    <w:uiPriority w:val="99"/>
    <w:semiHidden/>
    <w:unhideWhenUsed/>
    <w:pPr>
      <w:pBdr/>
      <w:spacing w:after="40" w:line="240" w:lineRule="auto"/>
      <w:ind/>
    </w:pPr>
    <w:rPr>
      <w:sz w:val="18"/>
    </w:rPr>
  </w:style>
  <w:style w:type="character" w:styleId="815">
    <w:name w:val="Footnote Text Char"/>
    <w:link w:val="814"/>
    <w:uiPriority w:val="99"/>
    <w:pPr>
      <w:pBdr/>
      <w:spacing/>
      <w:ind/>
    </w:pPr>
    <w:rPr>
      <w:sz w:val="18"/>
    </w:rPr>
  </w:style>
  <w:style w:type="character" w:styleId="816">
    <w:name w:val="footnote reference"/>
    <w:uiPriority w:val="99"/>
    <w:unhideWhenUsed/>
    <w:pPr>
      <w:pBdr/>
      <w:spacing/>
      <w:ind/>
    </w:pPr>
    <w:rPr>
      <w:vertAlign w:val="superscript"/>
    </w:rPr>
  </w:style>
  <w:style w:type="paragraph" w:styleId="817">
    <w:name w:val="endnote text"/>
    <w:basedOn w:val="831"/>
    <w:link w:val="818"/>
    <w:uiPriority w:val="99"/>
    <w:semiHidden/>
    <w:unhideWhenUsed/>
    <w:pPr>
      <w:pBdr/>
      <w:spacing w:after="0" w:line="240" w:lineRule="auto"/>
      <w:ind/>
    </w:pPr>
    <w:rPr>
      <w:sz w:val="20"/>
    </w:rPr>
  </w:style>
  <w:style w:type="character" w:styleId="818">
    <w:name w:val="Endnote Text Char"/>
    <w:link w:val="817"/>
    <w:uiPriority w:val="99"/>
    <w:pPr>
      <w:pBdr/>
      <w:spacing/>
      <w:ind/>
    </w:pPr>
    <w:rPr>
      <w:sz w:val="20"/>
    </w:rPr>
  </w:style>
  <w:style w:type="character" w:styleId="819">
    <w:name w:val="endnote reference"/>
    <w:uiPriority w:val="99"/>
    <w:semiHidden/>
    <w:unhideWhenUsed/>
    <w:pPr>
      <w:pBdr/>
      <w:spacing/>
      <w:ind/>
    </w:pPr>
    <w:rPr>
      <w:vertAlign w:val="superscript"/>
    </w:rPr>
  </w:style>
  <w:style w:type="paragraph" w:styleId="820">
    <w:name w:val="toc 1"/>
    <w:basedOn w:val="831"/>
    <w:next w:val="831"/>
    <w:uiPriority w:val="39"/>
    <w:unhideWhenUsed/>
    <w:pPr>
      <w:pBdr/>
      <w:spacing w:after="57"/>
      <w:ind w:right="0" w:firstLine="0" w:left="0"/>
    </w:pPr>
  </w:style>
  <w:style w:type="paragraph" w:styleId="821">
    <w:name w:val="toc 2"/>
    <w:basedOn w:val="831"/>
    <w:next w:val="831"/>
    <w:uiPriority w:val="39"/>
    <w:unhideWhenUsed/>
    <w:pPr>
      <w:pBdr/>
      <w:spacing w:after="57"/>
      <w:ind w:right="0" w:firstLine="0" w:left="283"/>
    </w:pPr>
  </w:style>
  <w:style w:type="paragraph" w:styleId="822">
    <w:name w:val="toc 3"/>
    <w:basedOn w:val="831"/>
    <w:next w:val="831"/>
    <w:uiPriority w:val="39"/>
    <w:unhideWhenUsed/>
    <w:pPr>
      <w:pBdr/>
      <w:spacing w:after="57"/>
      <w:ind w:right="0" w:firstLine="0" w:left="567"/>
    </w:pPr>
  </w:style>
  <w:style w:type="paragraph" w:styleId="823">
    <w:name w:val="toc 4"/>
    <w:basedOn w:val="831"/>
    <w:next w:val="831"/>
    <w:uiPriority w:val="39"/>
    <w:unhideWhenUsed/>
    <w:pPr>
      <w:pBdr/>
      <w:spacing w:after="57"/>
      <w:ind w:right="0" w:firstLine="0" w:left="850"/>
    </w:pPr>
  </w:style>
  <w:style w:type="paragraph" w:styleId="824">
    <w:name w:val="toc 5"/>
    <w:basedOn w:val="831"/>
    <w:next w:val="831"/>
    <w:uiPriority w:val="39"/>
    <w:unhideWhenUsed/>
    <w:pPr>
      <w:pBdr/>
      <w:spacing w:after="57"/>
      <w:ind w:right="0" w:firstLine="0" w:left="1134"/>
    </w:pPr>
  </w:style>
  <w:style w:type="paragraph" w:styleId="825">
    <w:name w:val="toc 6"/>
    <w:basedOn w:val="831"/>
    <w:next w:val="831"/>
    <w:uiPriority w:val="39"/>
    <w:unhideWhenUsed/>
    <w:pPr>
      <w:pBdr/>
      <w:spacing w:after="57"/>
      <w:ind w:right="0" w:firstLine="0" w:left="1417"/>
    </w:pPr>
  </w:style>
  <w:style w:type="paragraph" w:styleId="826">
    <w:name w:val="toc 7"/>
    <w:basedOn w:val="831"/>
    <w:next w:val="831"/>
    <w:uiPriority w:val="39"/>
    <w:unhideWhenUsed/>
    <w:pPr>
      <w:pBdr/>
      <w:spacing w:after="57"/>
      <w:ind w:right="0" w:firstLine="0" w:left="1701"/>
    </w:pPr>
  </w:style>
  <w:style w:type="paragraph" w:styleId="827">
    <w:name w:val="toc 8"/>
    <w:basedOn w:val="831"/>
    <w:next w:val="831"/>
    <w:uiPriority w:val="39"/>
    <w:unhideWhenUsed/>
    <w:pPr>
      <w:pBdr/>
      <w:spacing w:after="57"/>
      <w:ind w:right="0" w:firstLine="0" w:left="1984"/>
    </w:pPr>
  </w:style>
  <w:style w:type="paragraph" w:styleId="828">
    <w:name w:val="toc 9"/>
    <w:basedOn w:val="831"/>
    <w:next w:val="831"/>
    <w:uiPriority w:val="39"/>
    <w:unhideWhenUsed/>
    <w:pPr>
      <w:pBdr/>
      <w:spacing w:after="57"/>
      <w:ind w:right="0" w:firstLine="0" w:left="2268"/>
    </w:pPr>
  </w:style>
  <w:style w:type="paragraph" w:styleId="829">
    <w:name w:val="TOC Heading"/>
    <w:uiPriority w:val="39"/>
    <w:unhideWhenUsed/>
    <w:pPr>
      <w:pBdr/>
      <w:spacing/>
      <w:ind/>
    </w:pPr>
  </w:style>
  <w:style w:type="paragraph" w:styleId="830">
    <w:name w:val="table of figures"/>
    <w:basedOn w:val="831"/>
    <w:next w:val="831"/>
    <w:uiPriority w:val="99"/>
    <w:unhideWhenUsed/>
    <w:pPr>
      <w:pBdr/>
      <w:spacing w:after="0" w:afterAutospacing="0"/>
      <w:ind/>
    </w:pPr>
  </w:style>
  <w:style w:type="paragraph" w:styleId="831" w:default="1">
    <w:name w:val="Normal"/>
    <w:pPr>
      <w:pBdr/>
      <w:spacing/>
      <w:ind/>
    </w:pPr>
  </w:style>
  <w:style w:type="table" w:styleId="832" w:default="1">
    <w:name w:val="Table Normal"/>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33">
    <w:name w:val="Heading 1"/>
    <w:basedOn w:val="831"/>
    <w:next w:val="831"/>
    <w:pPr>
      <w:keepNext w:val="true"/>
      <w:keepLines w:val="true"/>
      <w:pageBreakBefore w:val="false"/>
      <w:pBdr/>
      <w:spacing w:after="120" w:before="400"/>
      <w:ind/>
    </w:pPr>
    <w:rPr>
      <w:sz w:val="40"/>
      <w:szCs w:val="40"/>
    </w:rPr>
  </w:style>
  <w:style w:type="paragraph" w:styleId="834">
    <w:name w:val="Heading 2"/>
    <w:basedOn w:val="831"/>
    <w:next w:val="831"/>
    <w:pPr>
      <w:keepNext w:val="true"/>
      <w:keepLines w:val="true"/>
      <w:pageBreakBefore w:val="false"/>
      <w:pBdr/>
      <w:spacing w:after="120" w:before="360"/>
      <w:ind/>
    </w:pPr>
    <w:rPr>
      <w:b w:val="0"/>
      <w:sz w:val="32"/>
      <w:szCs w:val="32"/>
    </w:rPr>
  </w:style>
  <w:style w:type="paragraph" w:styleId="835">
    <w:name w:val="Heading 3"/>
    <w:basedOn w:val="831"/>
    <w:next w:val="831"/>
    <w:pPr>
      <w:keepNext w:val="true"/>
      <w:keepLines w:val="true"/>
      <w:pageBreakBefore w:val="false"/>
      <w:pBdr/>
      <w:spacing w:after="80" w:before="320"/>
      <w:ind/>
    </w:pPr>
    <w:rPr>
      <w:b w:val="0"/>
      <w:color w:val="434343"/>
      <w:sz w:val="28"/>
      <w:szCs w:val="28"/>
    </w:rPr>
  </w:style>
  <w:style w:type="paragraph" w:styleId="836">
    <w:name w:val="Heading 4"/>
    <w:basedOn w:val="831"/>
    <w:next w:val="831"/>
    <w:pPr>
      <w:keepNext w:val="true"/>
      <w:keepLines w:val="true"/>
      <w:pageBreakBefore w:val="false"/>
      <w:pBdr/>
      <w:spacing w:after="80" w:before="280"/>
      <w:ind/>
    </w:pPr>
    <w:rPr>
      <w:color w:val="666666"/>
      <w:sz w:val="24"/>
      <w:szCs w:val="24"/>
    </w:rPr>
  </w:style>
  <w:style w:type="paragraph" w:styleId="837">
    <w:name w:val="Heading 5"/>
    <w:basedOn w:val="831"/>
    <w:next w:val="831"/>
    <w:pPr>
      <w:keepNext w:val="true"/>
      <w:keepLines w:val="true"/>
      <w:pageBreakBefore w:val="false"/>
      <w:pBdr/>
      <w:spacing w:after="80" w:before="240"/>
      <w:ind/>
    </w:pPr>
    <w:rPr>
      <w:color w:val="666666"/>
      <w:sz w:val="22"/>
      <w:szCs w:val="22"/>
    </w:rPr>
  </w:style>
  <w:style w:type="paragraph" w:styleId="838">
    <w:name w:val="Heading 6"/>
    <w:basedOn w:val="831"/>
    <w:next w:val="831"/>
    <w:pPr>
      <w:keepNext w:val="true"/>
      <w:keepLines w:val="true"/>
      <w:pageBreakBefore w:val="false"/>
      <w:pBdr/>
      <w:spacing w:after="80" w:before="240"/>
      <w:ind/>
    </w:pPr>
    <w:rPr>
      <w:i/>
      <w:color w:val="666666"/>
      <w:sz w:val="22"/>
      <w:szCs w:val="22"/>
    </w:rPr>
  </w:style>
  <w:style w:type="paragraph" w:styleId="839">
    <w:name w:val="Title"/>
    <w:basedOn w:val="831"/>
    <w:next w:val="831"/>
    <w:pPr>
      <w:keepNext w:val="true"/>
      <w:keepLines w:val="true"/>
      <w:pageBreakBefore w:val="false"/>
      <w:pBdr/>
      <w:spacing w:after="60" w:before="0"/>
      <w:ind/>
    </w:pPr>
    <w:rPr>
      <w:sz w:val="52"/>
      <w:szCs w:val="52"/>
    </w:rPr>
  </w:style>
  <w:style w:type="paragraph" w:styleId="840">
    <w:name w:val="Subtitle"/>
    <w:basedOn w:val="831"/>
    <w:next w:val="831"/>
    <w:pPr>
      <w:keepNext w:val="true"/>
      <w:keepLines w:val="true"/>
      <w:pageBreakBefore w:val="false"/>
      <w:pBdr/>
      <w:spacing w:after="320" w:before="0"/>
      <w:ind/>
    </w:pPr>
    <w:rPr>
      <w:rFonts w:ascii="Arial" w:hAnsi="Arial" w:eastAsia="Arial" w:cs="Arial"/>
      <w:i w:val="0"/>
      <w:color w:val="666666"/>
      <w:sz w:val="30"/>
      <w:szCs w:val="30"/>
    </w:rPr>
  </w:style>
  <w:style w:type="character" w:styleId="841" w:default="1">
    <w:name w:val="Default Paragraph Font"/>
    <w:uiPriority w:val="1"/>
    <w:semiHidden/>
    <w:unhideWhenUsed/>
    <w:pPr>
      <w:pBdr/>
      <w:spacing/>
      <w:ind/>
    </w:pPr>
  </w:style>
  <w:style w:type="numbering" w:styleId="842"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www.workersinpalestine.org/news/strike-for-palestine" TargetMode="External"/><Relationship Id="rId9" Type="http://schemas.openxmlformats.org/officeDocument/2006/relationships/hyperlink" Target="https://www.ohchr.org/sites/default/files/documents/hrbodies/hrcouncil/sessions-regular/session55/advance-versions/a-hrc-55-73-auv.pdf" TargetMode="External"/><Relationship Id="rId10" Type="http://schemas.openxmlformats.org/officeDocument/2006/relationships/hyperlink" Target="https://www.icj-cij.org/sites/default/files/case-related/131/131-20040709-ADV-01-00-EN.pdf" TargetMode="External"/><Relationship Id="rId11" Type="http://schemas.openxmlformats.org/officeDocument/2006/relationships/hyperlink" Target="https://www.icj-cij.org/sites/default/files/case-related/192/192-20240126-ord-01-00-en.pdf" TargetMode="External"/><Relationship Id="rId12" Type="http://schemas.openxmlformats.org/officeDocument/2006/relationships/hyperlink" Target="https://www.icj-cij.org/sites/default/files/case-related/192/192-20240126-ord-01-00-en.pdf" TargetMode="External"/><Relationship Id="rId13" Type="http://schemas.openxmlformats.org/officeDocument/2006/relationships/hyperlink" Target="https://www.icj-cij.org/sites/default/files/case-related/192/192-20240126-ord-01-00-en.pdf" TargetMode="External"/><Relationship Id="rId14" Type="http://schemas.openxmlformats.org/officeDocument/2006/relationships/hyperlink" Target="https://www.ohchr.org/en/hr-bodies/hrc/regular-sessions/session31/database-hrc3136" TargetMode="External"/><Relationship Id="rId15" Type="http://schemas.openxmlformats.org/officeDocument/2006/relationships/hyperlink" Target="https://www.business-humanrights.org/fr/derni%C3%A8res-actualit%C3%A9s/palestineisrael-israeli-manufacturing-companies-reportedly-employing-garment-workers-in-gaza-on-low-wages-amid-high-employment-rate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Sanna Abdessalem</cp:lastModifiedBy>
  <cp:revision>3</cp:revision>
  <dcterms:modified xsi:type="dcterms:W3CDTF">2024-05-08T11:33:14Z</dcterms:modified>
</cp:coreProperties>
</file>