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ED" w:rsidRDefault="00EA0F01" w:rsidP="00E87BED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1736684</wp:posOffset>
            </wp:positionH>
            <wp:positionV relativeFrom="paragraph">
              <wp:posOffset>-1029233</wp:posOffset>
            </wp:positionV>
            <wp:extent cx="2820035" cy="149415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lianzaDN_logo_baja_r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inguno"/>
          <w:noProof/>
        </w:rPr>
        <w:drawing>
          <wp:anchor distT="57150" distB="57150" distL="57150" distR="57150" simplePos="0" relativeHeight="251661312" behindDoc="0" locked="0" layoutInCell="1" allowOverlap="1" wp14:anchorId="1E4CF40A" wp14:editId="093AE054">
            <wp:simplePos x="0" y="0"/>
            <wp:positionH relativeFrom="column">
              <wp:posOffset>-78740</wp:posOffset>
            </wp:positionH>
            <wp:positionV relativeFrom="line">
              <wp:posOffset>-566788</wp:posOffset>
            </wp:positionV>
            <wp:extent cx="2163445" cy="626110"/>
            <wp:effectExtent l="0" t="0" r="0" b="0"/>
            <wp:wrapNone/>
            <wp:docPr id="1073741826" name="officeArt object" descr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 2" descr="Imagen 2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626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BED" w:rsidRDefault="00E87BED" w:rsidP="00E87BED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</w:rPr>
      </w:pPr>
    </w:p>
    <w:p w:rsidR="00E87BED" w:rsidRDefault="00E87BED" w:rsidP="00E87BED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</w:rPr>
      </w:pPr>
    </w:p>
    <w:p w:rsidR="00E87BED" w:rsidRDefault="00E87BED" w:rsidP="00E87BED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</w:rPr>
      </w:pPr>
    </w:p>
    <w:p w:rsidR="00EA0F01" w:rsidRDefault="00EA0F01" w:rsidP="00EA0F01">
      <w:pPr>
        <w:pStyle w:val="Cuerpo"/>
        <w:jc w:val="right"/>
        <w:rPr>
          <w:rStyle w:val="Ninguno"/>
          <w:rFonts w:ascii="Poppins" w:eastAsia="Poppins" w:hAnsi="Poppins" w:cs="Poppins"/>
          <w:b/>
          <w:bCs/>
          <w:sz w:val="40"/>
          <w:szCs w:val="40"/>
        </w:rPr>
      </w:pPr>
      <w:r w:rsidRPr="005A4FF0">
        <w:rPr>
          <w:rStyle w:val="Ninguno"/>
          <w:rFonts w:ascii="Poppins" w:eastAsia="Poppins" w:hAnsi="Poppins" w:cs="Poppins"/>
          <w:b/>
          <w:bCs/>
          <w:sz w:val="40"/>
          <w:szCs w:val="40"/>
        </w:rPr>
        <w:t>NOTA DE PRENSA</w:t>
      </w:r>
    </w:p>
    <w:p w:rsidR="00EA0F01" w:rsidRDefault="00EA0F01" w:rsidP="00EA0F01">
      <w:pPr>
        <w:pStyle w:val="Cuerpo"/>
        <w:jc w:val="right"/>
        <w:rPr>
          <w:rStyle w:val="Ninguno"/>
        </w:rPr>
      </w:pPr>
    </w:p>
    <w:p w:rsidR="00EA0F01" w:rsidRDefault="00776FDE" w:rsidP="00EA0F01">
      <w:pPr>
        <w:pStyle w:val="Cuerpo"/>
        <w:jc w:val="right"/>
        <w:rPr>
          <w:rStyle w:val="Ninguno"/>
        </w:rPr>
      </w:pPr>
      <w:r>
        <w:rPr>
          <w:rStyle w:val="Ninguno"/>
        </w:rPr>
        <w:t>22 de febrero de 2024</w:t>
      </w:r>
    </w:p>
    <w:p w:rsidR="00EA0F01" w:rsidRDefault="00EA0F01" w:rsidP="00EA0F01">
      <w:pPr>
        <w:pStyle w:val="Cuerpo"/>
        <w:rPr>
          <w:rStyle w:val="Ninguno"/>
        </w:rPr>
      </w:pPr>
    </w:p>
    <w:p w:rsidR="00776FDE" w:rsidRDefault="00776FDE" w:rsidP="00EA0F01">
      <w:pPr>
        <w:pStyle w:val="Cuerpo"/>
        <w:jc w:val="center"/>
        <w:rPr>
          <w:rStyle w:val="Ninguno"/>
          <w:rFonts w:ascii="Arial" w:eastAsia="Poppins" w:hAnsi="Arial" w:cs="Arial"/>
          <w:b/>
          <w:bCs/>
          <w:sz w:val="32"/>
          <w:szCs w:val="32"/>
        </w:rPr>
      </w:pPr>
    </w:p>
    <w:p w:rsidR="00EA0F01" w:rsidRPr="00776FDE" w:rsidRDefault="00776FDE" w:rsidP="00EA0F01">
      <w:pPr>
        <w:pStyle w:val="Cuerpo"/>
        <w:jc w:val="center"/>
        <w:rPr>
          <w:rStyle w:val="Ninguno"/>
          <w:rFonts w:ascii="Arial" w:eastAsia="Poppins" w:hAnsi="Arial" w:cs="Arial"/>
          <w:b/>
          <w:bCs/>
          <w:sz w:val="36"/>
          <w:szCs w:val="36"/>
        </w:rPr>
      </w:pPr>
      <w:r w:rsidRPr="00776FDE">
        <w:rPr>
          <w:rStyle w:val="Ninguno"/>
          <w:rFonts w:ascii="Arial" w:eastAsia="Poppins" w:hAnsi="Arial" w:cs="Arial"/>
          <w:b/>
          <w:bCs/>
          <w:sz w:val="36"/>
          <w:szCs w:val="36"/>
        </w:rPr>
        <w:t>Disminuye el número de instituciones financieras que invierten en compañías que fabrican armas nucleares</w:t>
      </w:r>
    </w:p>
    <w:p w:rsidR="001F5AF6" w:rsidRDefault="001F5AF6" w:rsidP="001F5AF6">
      <w:pPr>
        <w:spacing w:after="0"/>
        <w:rPr>
          <w:rFonts w:ascii="Arial" w:eastAsia="Times New Roman" w:hAnsi="Arial" w:cs="Arial"/>
          <w:sz w:val="28"/>
          <w:szCs w:val="28"/>
          <w:lang w:val="es-ES_tradnl" w:eastAsia="ja-JP" w:bidi="x-none"/>
        </w:rPr>
      </w:pPr>
    </w:p>
    <w:p w:rsidR="00776FDE" w:rsidRDefault="00776FDE" w:rsidP="00A761E6">
      <w:pPr>
        <w:spacing w:after="0"/>
        <w:rPr>
          <w:rStyle w:val="nfasis"/>
          <w:rFonts w:ascii="Arial" w:hAnsi="Arial" w:cs="Arial"/>
          <w:sz w:val="26"/>
          <w:szCs w:val="26"/>
          <w:lang w:val="es-ES"/>
        </w:rPr>
      </w:pPr>
      <w:r w:rsidRPr="00776FDE">
        <w:rPr>
          <w:rStyle w:val="nfasis"/>
          <w:rFonts w:ascii="Arial" w:hAnsi="Arial" w:cs="Arial"/>
          <w:sz w:val="26"/>
          <w:szCs w:val="26"/>
          <w:lang w:val="es-ES"/>
        </w:rPr>
        <w:t>Un nuevo informe de</w:t>
      </w:r>
      <w:r w:rsidRPr="00776FDE">
        <w:rPr>
          <w:rStyle w:val="apple-converted-space"/>
          <w:rFonts w:ascii="Arial" w:hAnsi="Arial" w:cs="Arial"/>
          <w:i/>
          <w:iCs/>
          <w:sz w:val="26"/>
          <w:szCs w:val="26"/>
          <w:lang w:val="es-ES"/>
        </w:rPr>
        <w:t> </w:t>
      </w:r>
      <w:proofErr w:type="spellStart"/>
      <w:r w:rsidR="00950C51">
        <w:fldChar w:fldCharType="begin"/>
      </w:r>
      <w:r w:rsidR="0065141B" w:rsidRPr="0065141B">
        <w:rPr>
          <w:lang w:val="es-ES"/>
        </w:rPr>
        <w:instrText>HYPERLINK "https://www.dontbankonthebomb.com/wp-content/uploads/2024/02/PAX_Rapport_DBotB_Untenable-Investments_FINAL_digi_spread.pdf"</w:instrText>
      </w:r>
      <w:r w:rsidR="00950C51">
        <w:fldChar w:fldCharType="separate"/>
      </w:r>
      <w:r w:rsidRPr="00776FDE">
        <w:rPr>
          <w:rStyle w:val="Hipervnculo"/>
          <w:rFonts w:ascii="Arial" w:hAnsi="Arial" w:cs="Arial"/>
          <w:i/>
          <w:iCs/>
          <w:sz w:val="26"/>
          <w:szCs w:val="26"/>
          <w:lang w:val="es-ES"/>
        </w:rPr>
        <w:t>Don't</w:t>
      </w:r>
      <w:proofErr w:type="spellEnd"/>
      <w:r w:rsidRPr="00776FDE">
        <w:rPr>
          <w:rStyle w:val="Hipervnculo"/>
          <w:rFonts w:ascii="Arial" w:hAnsi="Arial" w:cs="Arial"/>
          <w:i/>
          <w:iCs/>
          <w:sz w:val="26"/>
          <w:szCs w:val="26"/>
          <w:lang w:val="es-ES"/>
        </w:rPr>
        <w:t xml:space="preserve"> Bank </w:t>
      </w:r>
      <w:proofErr w:type="spellStart"/>
      <w:r w:rsidRPr="00776FDE">
        <w:rPr>
          <w:rStyle w:val="Hipervnculo"/>
          <w:rFonts w:ascii="Arial" w:hAnsi="Arial" w:cs="Arial"/>
          <w:i/>
          <w:iCs/>
          <w:sz w:val="26"/>
          <w:szCs w:val="26"/>
          <w:lang w:val="es-ES"/>
        </w:rPr>
        <w:t>on</w:t>
      </w:r>
      <w:proofErr w:type="spellEnd"/>
      <w:r w:rsidRPr="00776FDE">
        <w:rPr>
          <w:rStyle w:val="Hipervnculo"/>
          <w:rFonts w:ascii="Arial" w:hAnsi="Arial" w:cs="Arial"/>
          <w:i/>
          <w:iCs/>
          <w:sz w:val="26"/>
          <w:szCs w:val="26"/>
          <w:lang w:val="es-ES"/>
        </w:rPr>
        <w:t xml:space="preserve"> </w:t>
      </w:r>
      <w:proofErr w:type="spellStart"/>
      <w:r w:rsidRPr="00776FDE">
        <w:rPr>
          <w:rStyle w:val="Hipervnculo"/>
          <w:rFonts w:ascii="Arial" w:hAnsi="Arial" w:cs="Arial"/>
          <w:i/>
          <w:iCs/>
          <w:sz w:val="26"/>
          <w:szCs w:val="26"/>
          <w:lang w:val="es-ES"/>
        </w:rPr>
        <w:t>the</w:t>
      </w:r>
      <w:proofErr w:type="spellEnd"/>
      <w:r w:rsidRPr="00776FDE">
        <w:rPr>
          <w:rStyle w:val="Hipervnculo"/>
          <w:rFonts w:ascii="Arial" w:hAnsi="Arial" w:cs="Arial"/>
          <w:i/>
          <w:iCs/>
          <w:sz w:val="26"/>
          <w:szCs w:val="26"/>
          <w:lang w:val="es-ES"/>
        </w:rPr>
        <w:t xml:space="preserve"> </w:t>
      </w:r>
      <w:proofErr w:type="spellStart"/>
      <w:r w:rsidRPr="00776FDE">
        <w:rPr>
          <w:rStyle w:val="Hipervnculo"/>
          <w:rFonts w:ascii="Arial" w:hAnsi="Arial" w:cs="Arial"/>
          <w:i/>
          <w:iCs/>
          <w:sz w:val="26"/>
          <w:szCs w:val="26"/>
          <w:lang w:val="es-ES"/>
        </w:rPr>
        <w:t>Bomb</w:t>
      </w:r>
      <w:proofErr w:type="spellEnd"/>
      <w:r w:rsidR="00950C51">
        <w:rPr>
          <w:rStyle w:val="Hipervnculo"/>
          <w:rFonts w:ascii="Arial" w:hAnsi="Arial" w:cs="Arial"/>
          <w:i/>
          <w:iCs/>
          <w:sz w:val="26"/>
          <w:szCs w:val="26"/>
          <w:lang w:val="es-ES"/>
        </w:rPr>
        <w:fldChar w:fldCharType="end"/>
      </w:r>
      <w:r w:rsidRPr="00776FDE">
        <w:rPr>
          <w:rStyle w:val="apple-converted-space"/>
          <w:rFonts w:ascii="Arial" w:hAnsi="Arial" w:cs="Arial"/>
          <w:i/>
          <w:iCs/>
          <w:sz w:val="26"/>
          <w:szCs w:val="26"/>
          <w:lang w:val="es-ES"/>
        </w:rPr>
        <w:t> </w:t>
      </w:r>
      <w:r w:rsidRPr="00776FDE">
        <w:rPr>
          <w:rStyle w:val="nfasis"/>
          <w:rFonts w:ascii="Arial" w:hAnsi="Arial" w:cs="Arial"/>
          <w:sz w:val="26"/>
          <w:szCs w:val="26"/>
          <w:lang w:val="es-ES"/>
        </w:rPr>
        <w:t xml:space="preserve">revela </w:t>
      </w:r>
      <w:r w:rsidR="00A761E6">
        <w:rPr>
          <w:rStyle w:val="nfasis"/>
          <w:rFonts w:ascii="Arial" w:hAnsi="Arial" w:cs="Arial"/>
          <w:sz w:val="26"/>
          <w:szCs w:val="26"/>
          <w:lang w:val="es-ES"/>
        </w:rPr>
        <w:t>la tendencia a la desinversión a pesar de que la financiación disponible para las 24 empresas productoras analizadas ha aumentado</w:t>
      </w:r>
      <w:r w:rsidR="00A761E6" w:rsidRPr="00776FDE">
        <w:rPr>
          <w:rStyle w:val="nfasis"/>
          <w:rFonts w:ascii="Arial" w:hAnsi="Arial" w:cs="Arial"/>
          <w:sz w:val="26"/>
          <w:szCs w:val="26"/>
          <w:lang w:val="es-ES"/>
        </w:rPr>
        <w:t xml:space="preserve"> </w:t>
      </w:r>
    </w:p>
    <w:p w:rsidR="00A761E6" w:rsidRDefault="00A761E6" w:rsidP="00A761E6">
      <w:pPr>
        <w:spacing w:after="0"/>
        <w:rPr>
          <w:rFonts w:ascii="Arial" w:eastAsia="Times New Roman" w:hAnsi="Arial" w:cs="Arial"/>
          <w:color w:val="auto"/>
          <w:sz w:val="26"/>
          <w:szCs w:val="26"/>
          <w:lang w:val="es-ES" w:eastAsia="ja-JP"/>
        </w:rPr>
      </w:pPr>
    </w:p>
    <w:p w:rsidR="00776FDE" w:rsidRPr="00776FDE" w:rsidRDefault="00A761E6" w:rsidP="00776FDE">
      <w:pPr>
        <w:spacing w:after="0"/>
        <w:rPr>
          <w:rStyle w:val="nfasis"/>
          <w:rFonts w:ascii="Arial" w:hAnsi="Arial" w:cs="Arial"/>
          <w:sz w:val="26"/>
          <w:szCs w:val="26"/>
          <w:lang w:val="es-ES"/>
        </w:rPr>
      </w:pPr>
      <w:r>
        <w:rPr>
          <w:rStyle w:val="nfasis"/>
          <w:rFonts w:ascii="Arial" w:hAnsi="Arial" w:cs="Arial"/>
          <w:sz w:val="26"/>
          <w:szCs w:val="26"/>
          <w:lang w:val="es-ES"/>
        </w:rPr>
        <w:t xml:space="preserve">En 2023 el número de instituciones financieras con </w:t>
      </w:r>
      <w:r w:rsidRPr="00776FDE">
        <w:rPr>
          <w:rStyle w:val="nfasis"/>
          <w:rFonts w:ascii="Arial" w:hAnsi="Arial" w:cs="Arial"/>
          <w:sz w:val="26"/>
          <w:szCs w:val="26"/>
          <w:lang w:val="es-ES"/>
        </w:rPr>
        <w:t xml:space="preserve">inversiones significativas en empresas implicadas en la </w:t>
      </w:r>
      <w:r>
        <w:rPr>
          <w:rStyle w:val="nfasis"/>
          <w:rFonts w:ascii="Arial" w:hAnsi="Arial" w:cs="Arial"/>
          <w:sz w:val="26"/>
          <w:szCs w:val="26"/>
          <w:lang w:val="es-ES"/>
        </w:rPr>
        <w:t>fabricación</w:t>
      </w:r>
      <w:r w:rsidRPr="00776FDE">
        <w:rPr>
          <w:rStyle w:val="nfasis"/>
          <w:rFonts w:ascii="Arial" w:hAnsi="Arial" w:cs="Arial"/>
          <w:sz w:val="26"/>
          <w:szCs w:val="26"/>
          <w:lang w:val="es-ES"/>
        </w:rPr>
        <w:t xml:space="preserve"> de armas nucleares </w:t>
      </w:r>
      <w:r>
        <w:rPr>
          <w:rStyle w:val="nfasis"/>
          <w:rFonts w:ascii="Arial" w:hAnsi="Arial" w:cs="Arial"/>
          <w:sz w:val="26"/>
          <w:szCs w:val="26"/>
          <w:lang w:val="es-ES"/>
        </w:rPr>
        <w:t>pasó</w:t>
      </w:r>
      <w:r w:rsidRPr="00776FDE">
        <w:rPr>
          <w:rStyle w:val="nfasis"/>
          <w:rFonts w:ascii="Arial" w:hAnsi="Arial" w:cs="Arial"/>
          <w:sz w:val="26"/>
          <w:szCs w:val="26"/>
          <w:lang w:val="es-ES"/>
        </w:rPr>
        <w:t xml:space="preserve"> de 306 a 287</w:t>
      </w:r>
      <w:r>
        <w:rPr>
          <w:rStyle w:val="nfasis"/>
          <w:rFonts w:ascii="Arial" w:hAnsi="Arial" w:cs="Arial"/>
          <w:sz w:val="26"/>
          <w:szCs w:val="26"/>
          <w:lang w:val="es-ES"/>
        </w:rPr>
        <w:t xml:space="preserve">; </w:t>
      </w:r>
      <w:r w:rsidR="00776FDE" w:rsidRPr="00776FDE">
        <w:rPr>
          <w:rStyle w:val="nfasis"/>
          <w:rFonts w:ascii="Arial" w:hAnsi="Arial" w:cs="Arial"/>
          <w:sz w:val="26"/>
          <w:szCs w:val="26"/>
          <w:lang w:val="es-ES"/>
        </w:rPr>
        <w:t>el tercer año consecutivo que disminuye desde la entrada en vigor del Tratado sobre la Prohibición de las Armas Nucleares (TPAN)</w:t>
      </w:r>
    </w:p>
    <w:p w:rsidR="00776FDE" w:rsidRPr="00776FDE" w:rsidRDefault="00776FDE" w:rsidP="00776FDE">
      <w:pPr>
        <w:spacing w:after="0"/>
        <w:rPr>
          <w:rFonts w:ascii="Arial" w:eastAsia="Times New Roman" w:hAnsi="Arial" w:cs="Arial"/>
          <w:color w:val="auto"/>
          <w:sz w:val="26"/>
          <w:szCs w:val="26"/>
          <w:lang w:val="es-ES" w:eastAsia="ja-JP"/>
        </w:rPr>
      </w:pPr>
    </w:p>
    <w:p w:rsidR="00A95E5B" w:rsidRPr="00776FDE" w:rsidRDefault="00A95E5B" w:rsidP="00776FDE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sz w:val="22"/>
          <w:szCs w:val="22"/>
          <w:lang w:val="es-ES" w:eastAsia="ja-JP" w:bidi="x-none"/>
        </w:rPr>
      </w:pPr>
    </w:p>
    <w:p w:rsidR="00776FDE" w:rsidRDefault="00776FDE" w:rsidP="00776FDE">
      <w:pPr>
        <w:spacing w:after="0"/>
        <w:rPr>
          <w:rFonts w:ascii="Arial" w:eastAsia="Times New Roman" w:hAnsi="Arial" w:cs="Arial"/>
          <w:color w:val="1F1F1F"/>
          <w:sz w:val="22"/>
          <w:szCs w:val="22"/>
          <w:lang w:val="es-ES" w:eastAsia="ja-JP"/>
        </w:rPr>
      </w:pPr>
      <w:r w:rsidRPr="00776FDE">
        <w:rPr>
          <w:rFonts w:ascii="Arial" w:eastAsia="Times New Roman" w:hAnsi="Arial" w:cs="Arial"/>
          <w:color w:val="1F1F1F"/>
          <w:sz w:val="22"/>
          <w:szCs w:val="22"/>
          <w:lang w:val="es-ES" w:eastAsia="ja-JP"/>
        </w:rPr>
        <w:t>El número de instituciones que financian la producción de armamento atómico ha bajado considerablemente desde que en 2021 entrara en vigor el Tratado sobre la Prohibición de las Armas Nucleares</w:t>
      </w:r>
      <w:r>
        <w:rPr>
          <w:rFonts w:ascii="Arial" w:eastAsia="Times New Roman" w:hAnsi="Arial" w:cs="Arial"/>
          <w:color w:val="1F1F1F"/>
          <w:sz w:val="22"/>
          <w:szCs w:val="22"/>
          <w:lang w:val="es-ES" w:eastAsia="ja-JP"/>
        </w:rPr>
        <w:t xml:space="preserve"> (TPAN)</w:t>
      </w:r>
      <w:r w:rsidRPr="00776FDE">
        <w:rPr>
          <w:rFonts w:ascii="Arial" w:eastAsia="Times New Roman" w:hAnsi="Arial" w:cs="Arial"/>
          <w:color w:val="1F1F1F"/>
          <w:sz w:val="22"/>
          <w:szCs w:val="22"/>
          <w:lang w:val="es-ES" w:eastAsia="ja-JP"/>
        </w:rPr>
        <w:t xml:space="preserve">, pero las que se mantienen conceden más préstamos y sus acciones en el sector aumentan, admite un informe </w:t>
      </w:r>
      <w:r w:rsidR="0087651C">
        <w:rPr>
          <w:rFonts w:ascii="Arial" w:eastAsia="Times New Roman" w:hAnsi="Arial" w:cs="Arial"/>
          <w:color w:val="1F1F1F"/>
          <w:sz w:val="22"/>
          <w:szCs w:val="22"/>
          <w:lang w:val="es-ES" w:eastAsia="ja-JP"/>
        </w:rPr>
        <w:t>de la Campaña Internacional para la Abolición de las Armas Nucleares (</w:t>
      </w:r>
      <w:r w:rsidR="0065141B">
        <w:rPr>
          <w:rFonts w:ascii="Arial" w:eastAsia="Times New Roman" w:hAnsi="Arial" w:cs="Arial"/>
          <w:color w:val="1F1F1F"/>
          <w:sz w:val="22"/>
          <w:szCs w:val="22"/>
          <w:lang w:val="es-ES" w:eastAsia="ja-JP"/>
        </w:rPr>
        <w:fldChar w:fldCharType="begin"/>
      </w:r>
      <w:r w:rsidR="0065141B">
        <w:rPr>
          <w:rFonts w:ascii="Arial" w:eastAsia="Times New Roman" w:hAnsi="Arial" w:cs="Arial"/>
          <w:color w:val="1F1F1F"/>
          <w:sz w:val="22"/>
          <w:szCs w:val="22"/>
          <w:lang w:val="es-ES" w:eastAsia="ja-JP"/>
        </w:rPr>
        <w:instrText xml:space="preserve"> HYPERLINK "https://www.icanw.org/" </w:instrText>
      </w:r>
      <w:r w:rsidR="0065141B">
        <w:rPr>
          <w:rFonts w:ascii="Arial" w:eastAsia="Times New Roman" w:hAnsi="Arial" w:cs="Arial"/>
          <w:color w:val="1F1F1F"/>
          <w:sz w:val="22"/>
          <w:szCs w:val="22"/>
          <w:lang w:val="es-ES" w:eastAsia="ja-JP"/>
        </w:rPr>
      </w:r>
      <w:r w:rsidR="0065141B">
        <w:rPr>
          <w:rFonts w:ascii="Arial" w:eastAsia="Times New Roman" w:hAnsi="Arial" w:cs="Arial"/>
          <w:color w:val="1F1F1F"/>
          <w:sz w:val="22"/>
          <w:szCs w:val="22"/>
          <w:lang w:val="es-ES" w:eastAsia="ja-JP"/>
        </w:rPr>
        <w:fldChar w:fldCharType="separate"/>
      </w:r>
      <w:r w:rsidR="0087651C" w:rsidRPr="0065141B">
        <w:rPr>
          <w:rStyle w:val="Hipervnculo"/>
          <w:rFonts w:ascii="Arial" w:eastAsia="Times New Roman" w:hAnsi="Arial" w:cs="Arial"/>
          <w:sz w:val="22"/>
          <w:szCs w:val="22"/>
          <w:lang w:val="es-ES" w:eastAsia="ja-JP"/>
        </w:rPr>
        <w:t>ICAN</w:t>
      </w:r>
      <w:r w:rsidR="0065141B">
        <w:rPr>
          <w:rFonts w:ascii="Arial" w:eastAsia="Times New Roman" w:hAnsi="Arial" w:cs="Arial"/>
          <w:color w:val="1F1F1F"/>
          <w:sz w:val="22"/>
          <w:szCs w:val="22"/>
          <w:lang w:val="es-ES" w:eastAsia="ja-JP"/>
        </w:rPr>
        <w:fldChar w:fldCharType="end"/>
      </w:r>
      <w:bookmarkStart w:id="0" w:name="_GoBack"/>
      <w:bookmarkEnd w:id="0"/>
      <w:r w:rsidR="0087651C">
        <w:rPr>
          <w:rFonts w:ascii="Arial" w:eastAsia="Times New Roman" w:hAnsi="Arial" w:cs="Arial"/>
          <w:color w:val="1F1F1F"/>
          <w:sz w:val="22"/>
          <w:szCs w:val="22"/>
          <w:lang w:val="es-ES" w:eastAsia="ja-JP"/>
        </w:rPr>
        <w:t xml:space="preserve">) y la organización </w:t>
      </w:r>
      <w:hyperlink r:id="rId10" w:history="1">
        <w:r w:rsidR="0087651C" w:rsidRPr="0065141B">
          <w:rPr>
            <w:rStyle w:val="Hipervnculo"/>
            <w:rFonts w:ascii="Arial" w:eastAsia="Times New Roman" w:hAnsi="Arial" w:cs="Arial"/>
            <w:sz w:val="22"/>
            <w:szCs w:val="22"/>
            <w:lang w:val="es-ES" w:eastAsia="ja-JP"/>
          </w:rPr>
          <w:t>PAX</w:t>
        </w:r>
      </w:hyperlink>
      <w:r w:rsidR="0087651C">
        <w:rPr>
          <w:rFonts w:ascii="Arial" w:eastAsia="Times New Roman" w:hAnsi="Arial" w:cs="Arial"/>
          <w:color w:val="1F1F1F"/>
          <w:sz w:val="22"/>
          <w:szCs w:val="22"/>
          <w:lang w:val="es-ES" w:eastAsia="ja-JP"/>
        </w:rPr>
        <w:t xml:space="preserve"> </w:t>
      </w:r>
      <w:r w:rsidRPr="00776FDE">
        <w:rPr>
          <w:rFonts w:ascii="Arial" w:eastAsia="Times New Roman" w:hAnsi="Arial" w:cs="Arial"/>
          <w:color w:val="1F1F1F"/>
          <w:sz w:val="22"/>
          <w:szCs w:val="22"/>
          <w:lang w:val="es-ES" w:eastAsia="ja-JP"/>
        </w:rPr>
        <w:t>publicado este miércoles.</w:t>
      </w:r>
    </w:p>
    <w:p w:rsidR="00776FDE" w:rsidRPr="00776FDE" w:rsidRDefault="00776FDE" w:rsidP="00776FDE">
      <w:pPr>
        <w:spacing w:after="0"/>
        <w:rPr>
          <w:rFonts w:ascii="Arial" w:eastAsia="Times New Roman" w:hAnsi="Arial" w:cs="Arial"/>
          <w:color w:val="auto"/>
          <w:sz w:val="22"/>
          <w:szCs w:val="22"/>
          <w:lang w:val="es-ES" w:eastAsia="ja-JP"/>
        </w:rPr>
      </w:pPr>
    </w:p>
    <w:p w:rsidR="00776FDE" w:rsidRDefault="00776FDE" w:rsidP="00776FD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FDE">
        <w:rPr>
          <w:rFonts w:ascii="Arial" w:hAnsi="Arial" w:cs="Arial"/>
          <w:sz w:val="22"/>
          <w:szCs w:val="22"/>
        </w:rPr>
        <w:t xml:space="preserve">Según el </w:t>
      </w:r>
      <w:r w:rsidR="0087651C">
        <w:rPr>
          <w:rFonts w:ascii="Arial" w:hAnsi="Arial" w:cs="Arial"/>
          <w:sz w:val="22"/>
          <w:szCs w:val="22"/>
        </w:rPr>
        <w:t>estudio</w:t>
      </w:r>
      <w:r w:rsidRPr="00776FDE">
        <w:rPr>
          <w:rFonts w:ascii="Arial" w:hAnsi="Arial" w:cs="Arial"/>
          <w:sz w:val="22"/>
          <w:szCs w:val="22"/>
        </w:rPr>
        <w:t xml:space="preserve">, las instituciones con inversiones importantes en firmas que producen armas nucleares </w:t>
      </w:r>
      <w:proofErr w:type="gramStart"/>
      <w:r w:rsidRPr="00776FDE">
        <w:rPr>
          <w:rFonts w:ascii="Arial" w:hAnsi="Arial" w:cs="Arial"/>
          <w:sz w:val="22"/>
          <w:szCs w:val="22"/>
        </w:rPr>
        <w:t>ha</w:t>
      </w:r>
      <w:proofErr w:type="gramEnd"/>
      <w:r w:rsidRPr="00776FDE">
        <w:rPr>
          <w:rFonts w:ascii="Arial" w:hAnsi="Arial" w:cs="Arial"/>
          <w:sz w:val="22"/>
          <w:szCs w:val="22"/>
        </w:rPr>
        <w:t xml:space="preserve"> bajado por tercer año consecutivo, hasta 287 en 2023, cuando dos años antes eran 338.</w:t>
      </w:r>
    </w:p>
    <w:p w:rsidR="00776FDE" w:rsidRPr="00776FDE" w:rsidRDefault="00776FDE" w:rsidP="00776FD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6FDE" w:rsidRDefault="00776FDE" w:rsidP="00776FD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FDE">
        <w:rPr>
          <w:rFonts w:ascii="Arial" w:hAnsi="Arial" w:cs="Arial"/>
          <w:sz w:val="22"/>
          <w:szCs w:val="22"/>
        </w:rPr>
        <w:t xml:space="preserve">"Pese al impulso de los gobiernos a invertir más en fabricantes de armamento, muchas instituciones financieras mantienen su política de excluir a las compañías mencionadas en el informe, a menudo sobre la base de preocupaciones éticas por el desarrollo de armas de destrucción masiva", analiza ICAN, </w:t>
      </w:r>
      <w:r w:rsidR="0087651C">
        <w:rPr>
          <w:rFonts w:ascii="Arial" w:hAnsi="Arial" w:cs="Arial"/>
          <w:sz w:val="22"/>
          <w:szCs w:val="22"/>
        </w:rPr>
        <w:t xml:space="preserve">la </w:t>
      </w:r>
      <w:r w:rsidRPr="00776FDE">
        <w:rPr>
          <w:rFonts w:ascii="Arial" w:hAnsi="Arial" w:cs="Arial"/>
          <w:sz w:val="22"/>
          <w:szCs w:val="22"/>
        </w:rPr>
        <w:t>coalición de organizaciones galardonada en 2017 con el Premio Nobel de la Paz.</w:t>
      </w:r>
    </w:p>
    <w:p w:rsidR="00776FDE" w:rsidRPr="00776FDE" w:rsidRDefault="00776FDE" w:rsidP="00776FD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6FDE" w:rsidRPr="00776FDE" w:rsidRDefault="00776FDE" w:rsidP="00776FD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FDE">
        <w:rPr>
          <w:rFonts w:ascii="Arial" w:hAnsi="Arial" w:cs="Arial"/>
          <w:sz w:val="22"/>
          <w:szCs w:val="22"/>
        </w:rPr>
        <w:t>Las 10 mayores poseedoras de acciones y bonos en firmas productoras de armamento nuclear son estadounidenses, y lideran</w:t>
      </w:r>
      <w:r w:rsidR="0087651C">
        <w:rPr>
          <w:rFonts w:ascii="Arial" w:hAnsi="Arial" w:cs="Arial"/>
          <w:sz w:val="22"/>
          <w:szCs w:val="22"/>
        </w:rPr>
        <w:t xml:space="preserve"> esta </w:t>
      </w:r>
      <w:r w:rsidRPr="00776FDE">
        <w:rPr>
          <w:rFonts w:ascii="Arial" w:hAnsi="Arial" w:cs="Arial"/>
          <w:sz w:val="22"/>
          <w:szCs w:val="22"/>
        </w:rPr>
        <w:t xml:space="preserve">lista </w:t>
      </w:r>
      <w:proofErr w:type="spellStart"/>
      <w:r w:rsidRPr="00776FDE">
        <w:rPr>
          <w:rFonts w:ascii="Arial" w:hAnsi="Arial" w:cs="Arial"/>
          <w:sz w:val="22"/>
          <w:szCs w:val="22"/>
        </w:rPr>
        <w:t>Vanguard</w:t>
      </w:r>
      <w:proofErr w:type="spellEnd"/>
      <w:r w:rsidRPr="00776FDE">
        <w:rPr>
          <w:rFonts w:ascii="Arial" w:hAnsi="Arial" w:cs="Arial"/>
          <w:sz w:val="22"/>
          <w:szCs w:val="22"/>
        </w:rPr>
        <w:t xml:space="preserve"> (con 72.000 millones de acciones o bonos), Capital </w:t>
      </w:r>
      <w:proofErr w:type="spellStart"/>
      <w:r w:rsidRPr="00776FDE">
        <w:rPr>
          <w:rFonts w:ascii="Arial" w:hAnsi="Arial" w:cs="Arial"/>
          <w:sz w:val="22"/>
          <w:szCs w:val="22"/>
        </w:rPr>
        <w:t>Group</w:t>
      </w:r>
      <w:proofErr w:type="spellEnd"/>
      <w:r w:rsidRPr="00776FDE">
        <w:rPr>
          <w:rFonts w:ascii="Arial" w:hAnsi="Arial" w:cs="Arial"/>
          <w:sz w:val="22"/>
          <w:szCs w:val="22"/>
        </w:rPr>
        <w:t xml:space="preserve"> (62.000 millones), </w:t>
      </w:r>
      <w:proofErr w:type="spellStart"/>
      <w:r w:rsidRPr="00776FDE">
        <w:rPr>
          <w:rFonts w:ascii="Arial" w:hAnsi="Arial" w:cs="Arial"/>
          <w:sz w:val="22"/>
          <w:szCs w:val="22"/>
        </w:rPr>
        <w:t>State</w:t>
      </w:r>
      <w:proofErr w:type="spellEnd"/>
      <w:r w:rsidRPr="00776FDE">
        <w:rPr>
          <w:rFonts w:ascii="Arial" w:hAnsi="Arial" w:cs="Arial"/>
          <w:sz w:val="22"/>
          <w:szCs w:val="22"/>
        </w:rPr>
        <w:t xml:space="preserve"> Street (55.000 millones) y </w:t>
      </w:r>
      <w:proofErr w:type="spellStart"/>
      <w:r w:rsidRPr="00776FDE">
        <w:rPr>
          <w:rFonts w:ascii="Arial" w:hAnsi="Arial" w:cs="Arial"/>
          <w:sz w:val="22"/>
          <w:szCs w:val="22"/>
        </w:rPr>
        <w:t>BlackRock</w:t>
      </w:r>
      <w:proofErr w:type="spellEnd"/>
      <w:r w:rsidRPr="00776FDE">
        <w:rPr>
          <w:rFonts w:ascii="Arial" w:hAnsi="Arial" w:cs="Arial"/>
          <w:sz w:val="22"/>
          <w:szCs w:val="22"/>
        </w:rPr>
        <w:t xml:space="preserve"> (53.000 millones).</w:t>
      </w:r>
    </w:p>
    <w:p w:rsidR="00776FDE" w:rsidRPr="00776FDE" w:rsidRDefault="00776FDE" w:rsidP="00776FD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FDE">
        <w:rPr>
          <w:rFonts w:ascii="Arial" w:hAnsi="Arial" w:cs="Arial"/>
          <w:sz w:val="22"/>
          <w:szCs w:val="22"/>
        </w:rPr>
        <w:t>En total, las acciones y bonos de instituciones financieras en el sector superan los 476.000 millones de dólares (unos 440.300 millones de euros), un aumento del 3,4 % con respecto al año anterior.</w:t>
      </w:r>
    </w:p>
    <w:p w:rsidR="00776FDE" w:rsidRDefault="00776FDE" w:rsidP="00776FDE">
      <w:pPr>
        <w:pStyle w:val="NormalWeb"/>
        <w:spacing w:before="0" w:beforeAutospacing="0" w:after="0" w:afterAutospacing="0"/>
        <w:rPr>
          <w:rStyle w:val="apple-converted-space"/>
          <w:rFonts w:ascii="Arial" w:eastAsia="ヒラギノ角ゴ Pro W3" w:hAnsi="Arial" w:cs="Arial"/>
          <w:sz w:val="22"/>
          <w:szCs w:val="22"/>
        </w:rPr>
      </w:pPr>
      <w:r w:rsidRPr="00776FDE">
        <w:rPr>
          <w:rFonts w:ascii="Arial" w:hAnsi="Arial" w:cs="Arial"/>
          <w:sz w:val="22"/>
          <w:szCs w:val="22"/>
        </w:rPr>
        <w:lastRenderedPageBreak/>
        <w:t xml:space="preserve">También son estadounidenses los cuatro mayores prestamistas a firmas productoras de armas nucleares: Citigroup (28.000 millones de dólares), Bank of </w:t>
      </w:r>
      <w:proofErr w:type="spellStart"/>
      <w:r w:rsidRPr="00776FDE">
        <w:rPr>
          <w:rFonts w:ascii="Arial" w:hAnsi="Arial" w:cs="Arial"/>
          <w:sz w:val="22"/>
          <w:szCs w:val="22"/>
        </w:rPr>
        <w:t>America</w:t>
      </w:r>
      <w:proofErr w:type="spellEnd"/>
      <w:r w:rsidRPr="00776FDE">
        <w:rPr>
          <w:rFonts w:ascii="Arial" w:hAnsi="Arial" w:cs="Arial"/>
          <w:sz w:val="22"/>
          <w:szCs w:val="22"/>
        </w:rPr>
        <w:t xml:space="preserve"> (27.000 millones), </w:t>
      </w:r>
      <w:proofErr w:type="spellStart"/>
      <w:r w:rsidRPr="00776FDE">
        <w:rPr>
          <w:rFonts w:ascii="Arial" w:hAnsi="Arial" w:cs="Arial"/>
          <w:sz w:val="22"/>
          <w:szCs w:val="22"/>
        </w:rPr>
        <w:t>JPMorgan</w:t>
      </w:r>
      <w:proofErr w:type="spellEnd"/>
      <w:r w:rsidRPr="00776FDE">
        <w:rPr>
          <w:rFonts w:ascii="Arial" w:hAnsi="Arial" w:cs="Arial"/>
          <w:sz w:val="22"/>
          <w:szCs w:val="22"/>
        </w:rPr>
        <w:t xml:space="preserve"> Chase (25.000 millones) y Wells Fargo (19.000 millones).</w:t>
      </w:r>
      <w:r w:rsidRPr="00776FDE">
        <w:rPr>
          <w:rStyle w:val="apple-converted-space"/>
          <w:rFonts w:ascii="Arial" w:eastAsia="ヒラギノ角ゴ Pro W3" w:hAnsi="Arial" w:cs="Arial"/>
          <w:sz w:val="22"/>
          <w:szCs w:val="22"/>
        </w:rPr>
        <w:t> </w:t>
      </w:r>
    </w:p>
    <w:p w:rsidR="0087651C" w:rsidRPr="00776FDE" w:rsidRDefault="0087651C" w:rsidP="00776FD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6FDE" w:rsidRDefault="00776FDE" w:rsidP="00776FD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FDE">
        <w:rPr>
          <w:rFonts w:ascii="Arial" w:hAnsi="Arial" w:cs="Arial"/>
          <w:sz w:val="22"/>
          <w:szCs w:val="22"/>
        </w:rPr>
        <w:t xml:space="preserve">En el top ten de este grupo, no obstante, también hay entidades de Japón como </w:t>
      </w:r>
      <w:proofErr w:type="spellStart"/>
      <w:r w:rsidRPr="00776FDE">
        <w:rPr>
          <w:rFonts w:ascii="Arial" w:hAnsi="Arial" w:cs="Arial"/>
          <w:sz w:val="22"/>
          <w:szCs w:val="22"/>
        </w:rPr>
        <w:t>Mizuho</w:t>
      </w:r>
      <w:proofErr w:type="spellEnd"/>
      <w:r w:rsidRPr="00776F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FDE">
        <w:rPr>
          <w:rFonts w:ascii="Arial" w:hAnsi="Arial" w:cs="Arial"/>
          <w:sz w:val="22"/>
          <w:szCs w:val="22"/>
        </w:rPr>
        <w:t>Financial</w:t>
      </w:r>
      <w:proofErr w:type="spellEnd"/>
      <w:r w:rsidRPr="00776FDE">
        <w:rPr>
          <w:rFonts w:ascii="Arial" w:hAnsi="Arial" w:cs="Arial"/>
          <w:sz w:val="22"/>
          <w:szCs w:val="22"/>
        </w:rPr>
        <w:t xml:space="preserve">, SMBC o Mitsubishi UFJ, francesas como BNP </w:t>
      </w:r>
      <w:proofErr w:type="spellStart"/>
      <w:r w:rsidRPr="00776FDE">
        <w:rPr>
          <w:rFonts w:ascii="Arial" w:hAnsi="Arial" w:cs="Arial"/>
          <w:sz w:val="22"/>
          <w:szCs w:val="22"/>
        </w:rPr>
        <w:t>Paribas</w:t>
      </w:r>
      <w:proofErr w:type="spellEnd"/>
      <w:r w:rsidR="0087651C">
        <w:rPr>
          <w:rFonts w:ascii="Arial" w:hAnsi="Arial" w:cs="Arial"/>
          <w:sz w:val="22"/>
          <w:szCs w:val="22"/>
        </w:rPr>
        <w:t>,</w:t>
      </w:r>
      <w:r w:rsidRPr="00776FDE">
        <w:rPr>
          <w:rFonts w:ascii="Arial" w:hAnsi="Arial" w:cs="Arial"/>
          <w:sz w:val="22"/>
          <w:szCs w:val="22"/>
        </w:rPr>
        <w:t xml:space="preserve"> alemanas como Deutsche Bank, </w:t>
      </w:r>
      <w:r w:rsidR="0087651C">
        <w:rPr>
          <w:rFonts w:ascii="Arial" w:hAnsi="Arial" w:cs="Arial"/>
          <w:sz w:val="22"/>
          <w:szCs w:val="22"/>
        </w:rPr>
        <w:t xml:space="preserve">o las españolas BBVA, Banco Santander, Banco de Sabadell y La Caixa, </w:t>
      </w:r>
      <w:r w:rsidRPr="00776FDE">
        <w:rPr>
          <w:rFonts w:ascii="Arial" w:hAnsi="Arial" w:cs="Arial"/>
          <w:sz w:val="22"/>
          <w:szCs w:val="22"/>
        </w:rPr>
        <w:t>indica el informe.</w:t>
      </w:r>
    </w:p>
    <w:p w:rsidR="0087651C" w:rsidRPr="00776FDE" w:rsidRDefault="0087651C" w:rsidP="00776FD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6FDE" w:rsidRDefault="00776FDE" w:rsidP="0087651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FDE">
        <w:rPr>
          <w:rFonts w:ascii="Arial" w:hAnsi="Arial" w:cs="Arial"/>
          <w:sz w:val="22"/>
          <w:szCs w:val="22"/>
        </w:rPr>
        <w:t xml:space="preserve">En total, los préstamos a </w:t>
      </w:r>
      <w:r w:rsidR="0087651C">
        <w:rPr>
          <w:rFonts w:ascii="Arial" w:hAnsi="Arial" w:cs="Arial"/>
          <w:sz w:val="22"/>
          <w:szCs w:val="22"/>
        </w:rPr>
        <w:t>compañías implicadas en la producción</w:t>
      </w:r>
      <w:r w:rsidRPr="00776FDE">
        <w:rPr>
          <w:rFonts w:ascii="Arial" w:hAnsi="Arial" w:cs="Arial"/>
          <w:sz w:val="22"/>
          <w:szCs w:val="22"/>
        </w:rPr>
        <w:t xml:space="preserve"> de armas nucleares excedieron en 2023 los 342.000 millones de dólares, un aumento interanual del 19 %.</w:t>
      </w:r>
      <w:r w:rsidR="0087651C">
        <w:rPr>
          <w:rFonts w:ascii="Arial" w:hAnsi="Arial" w:cs="Arial"/>
          <w:sz w:val="22"/>
          <w:szCs w:val="22"/>
        </w:rPr>
        <w:t xml:space="preserve"> </w:t>
      </w:r>
      <w:r w:rsidRPr="00776FDE">
        <w:rPr>
          <w:rFonts w:ascii="Arial" w:hAnsi="Arial" w:cs="Arial"/>
          <w:sz w:val="22"/>
          <w:szCs w:val="22"/>
        </w:rPr>
        <w:t>ICAN y PAX atribuyen el aumento de las inversiones y créditos y el aumento de los beneficios del sector a la invasión rusa de Ucrania iniciada hace dos años y las tensiones que generó acerca de la necesidad de incrementar los arsenales nucleares.</w:t>
      </w:r>
    </w:p>
    <w:p w:rsidR="0087651C" w:rsidRPr="00776FDE" w:rsidRDefault="0087651C" w:rsidP="0087651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6FDE" w:rsidRDefault="00776FDE" w:rsidP="0087651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FDE">
        <w:rPr>
          <w:rFonts w:ascii="Arial" w:hAnsi="Arial" w:cs="Arial"/>
          <w:sz w:val="22"/>
          <w:szCs w:val="22"/>
        </w:rPr>
        <w:t xml:space="preserve">El estudio identifica 24 </w:t>
      </w:r>
      <w:r w:rsidR="0087651C">
        <w:rPr>
          <w:rFonts w:ascii="Arial" w:hAnsi="Arial" w:cs="Arial"/>
          <w:sz w:val="22"/>
          <w:szCs w:val="22"/>
        </w:rPr>
        <w:t>compañías</w:t>
      </w:r>
      <w:r w:rsidRPr="00776FDE">
        <w:rPr>
          <w:rFonts w:ascii="Arial" w:hAnsi="Arial" w:cs="Arial"/>
          <w:sz w:val="22"/>
          <w:szCs w:val="22"/>
        </w:rPr>
        <w:t xml:space="preserve"> involucradas en la producción de armamento atómico, siendo las cinco principales BAE </w:t>
      </w:r>
      <w:proofErr w:type="spellStart"/>
      <w:r w:rsidRPr="00776FDE">
        <w:rPr>
          <w:rFonts w:ascii="Arial" w:hAnsi="Arial" w:cs="Arial"/>
          <w:sz w:val="22"/>
          <w:szCs w:val="22"/>
        </w:rPr>
        <w:t>Systems</w:t>
      </w:r>
      <w:proofErr w:type="spellEnd"/>
      <w:r w:rsidRPr="00776FDE">
        <w:rPr>
          <w:rFonts w:ascii="Arial" w:hAnsi="Arial" w:cs="Arial"/>
          <w:sz w:val="22"/>
          <w:szCs w:val="22"/>
        </w:rPr>
        <w:t xml:space="preserve">, Boeing, General Dynamics, </w:t>
      </w:r>
      <w:proofErr w:type="spellStart"/>
      <w:r w:rsidRPr="00776FDE">
        <w:rPr>
          <w:rFonts w:ascii="Arial" w:hAnsi="Arial" w:cs="Arial"/>
          <w:sz w:val="22"/>
          <w:szCs w:val="22"/>
        </w:rPr>
        <w:t>Lockheed</w:t>
      </w:r>
      <w:proofErr w:type="spellEnd"/>
      <w:r w:rsidRPr="00776FDE">
        <w:rPr>
          <w:rFonts w:ascii="Arial" w:hAnsi="Arial" w:cs="Arial"/>
          <w:sz w:val="22"/>
          <w:szCs w:val="22"/>
        </w:rPr>
        <w:t xml:space="preserve"> Martin y </w:t>
      </w:r>
      <w:proofErr w:type="spellStart"/>
      <w:r w:rsidRPr="00776FDE">
        <w:rPr>
          <w:rFonts w:ascii="Arial" w:hAnsi="Arial" w:cs="Arial"/>
          <w:sz w:val="22"/>
          <w:szCs w:val="22"/>
        </w:rPr>
        <w:t>Northrop</w:t>
      </w:r>
      <w:proofErr w:type="spellEnd"/>
      <w:r w:rsidRPr="00776F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FDE">
        <w:rPr>
          <w:rFonts w:ascii="Arial" w:hAnsi="Arial" w:cs="Arial"/>
          <w:sz w:val="22"/>
          <w:szCs w:val="22"/>
        </w:rPr>
        <w:t>Grumman</w:t>
      </w:r>
      <w:proofErr w:type="spellEnd"/>
      <w:r w:rsidRPr="00776FDE">
        <w:rPr>
          <w:rFonts w:ascii="Arial" w:hAnsi="Arial" w:cs="Arial"/>
          <w:sz w:val="22"/>
          <w:szCs w:val="22"/>
        </w:rPr>
        <w:t>.</w:t>
      </w:r>
      <w:r w:rsidR="0087651C">
        <w:rPr>
          <w:rFonts w:ascii="Arial" w:hAnsi="Arial" w:cs="Arial"/>
          <w:sz w:val="22"/>
          <w:szCs w:val="22"/>
        </w:rPr>
        <w:t xml:space="preserve"> </w:t>
      </w:r>
      <w:r w:rsidRPr="00776FDE">
        <w:rPr>
          <w:rFonts w:ascii="Arial" w:hAnsi="Arial" w:cs="Arial"/>
          <w:sz w:val="22"/>
          <w:szCs w:val="22"/>
        </w:rPr>
        <w:t xml:space="preserve">Las cinco suministran equipamiento relacionado con las armas nucleares a Estados Unidos y el Reino Unido, y BAE </w:t>
      </w:r>
      <w:proofErr w:type="spellStart"/>
      <w:r w:rsidRPr="00776FDE">
        <w:rPr>
          <w:rFonts w:ascii="Arial" w:hAnsi="Arial" w:cs="Arial"/>
          <w:sz w:val="22"/>
          <w:szCs w:val="22"/>
        </w:rPr>
        <w:t>Systems</w:t>
      </w:r>
      <w:proofErr w:type="spellEnd"/>
      <w:r w:rsidRPr="00776FDE">
        <w:rPr>
          <w:rFonts w:ascii="Arial" w:hAnsi="Arial" w:cs="Arial"/>
          <w:sz w:val="22"/>
          <w:szCs w:val="22"/>
        </w:rPr>
        <w:t xml:space="preserve"> también tiene como cliente a Francia en este sector.</w:t>
      </w:r>
      <w:r w:rsidR="0087651C">
        <w:rPr>
          <w:rFonts w:ascii="Arial" w:hAnsi="Arial" w:cs="Arial"/>
          <w:sz w:val="22"/>
          <w:szCs w:val="22"/>
        </w:rPr>
        <w:t xml:space="preserve"> </w:t>
      </w:r>
      <w:r w:rsidRPr="00776FDE">
        <w:rPr>
          <w:rFonts w:ascii="Arial" w:hAnsi="Arial" w:cs="Arial"/>
          <w:sz w:val="22"/>
          <w:szCs w:val="22"/>
        </w:rPr>
        <w:t>Solo una firma de la lista (</w:t>
      </w:r>
      <w:proofErr w:type="spellStart"/>
      <w:r w:rsidRPr="00776FDE">
        <w:rPr>
          <w:rFonts w:ascii="Arial" w:hAnsi="Arial" w:cs="Arial"/>
          <w:sz w:val="22"/>
          <w:szCs w:val="22"/>
        </w:rPr>
        <w:t>Rostec</w:t>
      </w:r>
      <w:proofErr w:type="spellEnd"/>
      <w:r w:rsidRPr="00776FDE">
        <w:rPr>
          <w:rFonts w:ascii="Arial" w:hAnsi="Arial" w:cs="Arial"/>
          <w:sz w:val="22"/>
          <w:szCs w:val="22"/>
        </w:rPr>
        <w:t xml:space="preserve">) suministra a Rusia, una a China (China </w:t>
      </w:r>
      <w:proofErr w:type="spellStart"/>
      <w:r w:rsidRPr="00776FDE">
        <w:rPr>
          <w:rFonts w:ascii="Arial" w:hAnsi="Arial" w:cs="Arial"/>
          <w:sz w:val="22"/>
          <w:szCs w:val="22"/>
        </w:rPr>
        <w:t>Aerospace</w:t>
      </w:r>
      <w:proofErr w:type="spellEnd"/>
      <w:r w:rsidRPr="00776F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FDE">
        <w:rPr>
          <w:rFonts w:ascii="Arial" w:hAnsi="Arial" w:cs="Arial"/>
          <w:sz w:val="22"/>
          <w:szCs w:val="22"/>
        </w:rPr>
        <w:t>Science</w:t>
      </w:r>
      <w:proofErr w:type="spellEnd"/>
      <w:r w:rsidRPr="00776FD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776FDE">
        <w:rPr>
          <w:rFonts w:ascii="Arial" w:hAnsi="Arial" w:cs="Arial"/>
          <w:sz w:val="22"/>
          <w:szCs w:val="22"/>
        </w:rPr>
        <w:t>Technology</w:t>
      </w:r>
      <w:proofErr w:type="spellEnd"/>
      <w:r w:rsidRPr="00776FDE">
        <w:rPr>
          <w:rFonts w:ascii="Arial" w:hAnsi="Arial" w:cs="Arial"/>
          <w:sz w:val="22"/>
          <w:szCs w:val="22"/>
        </w:rPr>
        <w:t>) y dos a la India.</w:t>
      </w:r>
    </w:p>
    <w:p w:rsidR="0087651C" w:rsidRPr="00776FDE" w:rsidRDefault="0087651C" w:rsidP="0087651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6FDE" w:rsidRDefault="00776FDE" w:rsidP="00776FD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FDE">
        <w:rPr>
          <w:rFonts w:ascii="Arial" w:hAnsi="Arial" w:cs="Arial"/>
          <w:sz w:val="22"/>
          <w:szCs w:val="22"/>
        </w:rPr>
        <w:t>ICAN y PAX concluyen en el informe que "pese a que la guerra de Ucrania ha aumentado el valor económico de las acciones y bonos en las compañías armamentísticas que también producen armas nucleares, la tendencia a la desinversión continúa".</w:t>
      </w:r>
    </w:p>
    <w:p w:rsidR="0087651C" w:rsidRPr="00776FDE" w:rsidRDefault="0087651C" w:rsidP="00776FD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6FDE" w:rsidRPr="00776FDE" w:rsidRDefault="00776FDE" w:rsidP="00776FD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6FDE">
        <w:rPr>
          <w:rFonts w:ascii="Arial" w:hAnsi="Arial" w:cs="Arial"/>
          <w:sz w:val="22"/>
          <w:szCs w:val="22"/>
        </w:rPr>
        <w:t>ICAN recuerda que las nueve potencias nucleares (EEUU, Reino Unido, Francia, China, Rusia, India, Pakistán, Israel y Corea del Norte) están modernizando y en muchos casos expandiendo sus arsenales, recurriendo con frecuencia al sector privado para ello, especialmente en el caso de Europa y EEUU</w:t>
      </w:r>
    </w:p>
    <w:p w:rsidR="00EA0F01" w:rsidRPr="001F5AF6" w:rsidRDefault="00EA0F01" w:rsidP="001F5AF6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color w:val="auto"/>
          <w:sz w:val="22"/>
          <w:szCs w:val="22"/>
          <w:lang w:val="es-ES" w:eastAsia="ja-JP" w:bidi="x-none"/>
        </w:rPr>
      </w:pPr>
    </w:p>
    <w:p w:rsidR="00EA0F01" w:rsidRPr="001F5AF6" w:rsidRDefault="00EA0F01" w:rsidP="00EA0F01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color w:val="auto"/>
          <w:sz w:val="22"/>
          <w:szCs w:val="22"/>
          <w:lang w:val="es-ES" w:eastAsia="ja-JP" w:bidi="x-none"/>
        </w:rPr>
      </w:pPr>
      <w:r w:rsidRPr="001F5AF6">
        <w:rPr>
          <w:rFonts w:ascii="Arial" w:eastAsia="Times New Roman" w:hAnsi="Arial" w:cs="Arial"/>
          <w:color w:val="auto"/>
          <w:sz w:val="22"/>
          <w:szCs w:val="22"/>
          <w:lang w:val="es-ES" w:eastAsia="ja-JP" w:bidi="x-none"/>
        </w:rPr>
        <w:t>Fin</w:t>
      </w:r>
    </w:p>
    <w:p w:rsidR="000E6C52" w:rsidRDefault="000E6C52" w:rsidP="00EA0F01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sz w:val="22"/>
          <w:szCs w:val="22"/>
          <w:lang w:val="es-ES" w:eastAsia="ja-JP" w:bidi="x-none"/>
        </w:rPr>
      </w:pPr>
    </w:p>
    <w:p w:rsidR="001F5AF6" w:rsidRDefault="000E6C52" w:rsidP="001F5AF6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sz w:val="22"/>
          <w:szCs w:val="22"/>
          <w:lang w:val="es-ES" w:eastAsia="ja-JP" w:bidi="x-none"/>
        </w:rPr>
      </w:pPr>
      <w:r>
        <w:rPr>
          <w:rFonts w:ascii="Arial" w:eastAsia="Times New Roman" w:hAnsi="Arial" w:cs="Arial"/>
          <w:sz w:val="22"/>
          <w:szCs w:val="22"/>
          <w:lang w:val="es-ES" w:eastAsia="ja-JP" w:bidi="x-none"/>
        </w:rPr>
        <w:t>--</w:t>
      </w:r>
    </w:p>
    <w:p w:rsidR="00493AE6" w:rsidRPr="00EA0F01" w:rsidRDefault="00493AE6" w:rsidP="00EA0F01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sz w:val="22"/>
          <w:szCs w:val="22"/>
          <w:lang w:val="es-ES" w:eastAsia="ja-JP" w:bidi="x-none"/>
        </w:rPr>
      </w:pPr>
    </w:p>
    <w:sectPr w:rsidR="00493AE6" w:rsidRPr="00EA0F01" w:rsidSect="00AB27B6">
      <w:headerReference w:type="default" r:id="rId11"/>
      <w:footerReference w:type="even" r:id="rId12"/>
      <w:footerReference w:type="default" r:id="rId13"/>
      <w:pgSz w:w="11900" w:h="16840"/>
      <w:pgMar w:top="1134" w:right="1134" w:bottom="1134" w:left="1418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C51" w:rsidRDefault="00950C51">
      <w:pPr>
        <w:spacing w:after="0"/>
      </w:pPr>
      <w:r>
        <w:separator/>
      </w:r>
    </w:p>
  </w:endnote>
  <w:endnote w:type="continuationSeparator" w:id="0">
    <w:p w:rsidR="00950C51" w:rsidRDefault="00950C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6ED" w:rsidRDefault="00F946ED">
    <w:pPr>
      <w:pStyle w:val="Cabeceraypie"/>
      <w:jc w:val="right"/>
      <w:rPr>
        <w:rFonts w:ascii="Times New Roman" w:eastAsia="Times New Roman" w:hAnsi="Times New Roman"/>
        <w:color w:val="auto"/>
        <w:lang w:val="es-ES"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13" w:rsidRDefault="0031569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-464164</wp:posOffset>
          </wp:positionH>
          <wp:positionV relativeFrom="paragraph">
            <wp:posOffset>-700685</wp:posOffset>
          </wp:positionV>
          <wp:extent cx="2199961" cy="1165962"/>
          <wp:effectExtent l="0" t="0" r="0" b="0"/>
          <wp:wrapThrough wrapText="bothSides">
            <wp:wrapPolygon edited="0">
              <wp:start x="9104" y="5882"/>
              <wp:lineTo x="6485" y="6588"/>
              <wp:lineTo x="4988" y="7765"/>
              <wp:lineTo x="4988" y="10118"/>
              <wp:lineTo x="5363" y="14588"/>
              <wp:lineTo x="7732" y="17176"/>
              <wp:lineTo x="8605" y="17176"/>
              <wp:lineTo x="9852" y="16235"/>
              <wp:lineTo x="10226" y="15294"/>
              <wp:lineTo x="9727" y="13882"/>
              <wp:lineTo x="15464" y="13882"/>
              <wp:lineTo x="16587" y="12706"/>
              <wp:lineTo x="15963" y="10118"/>
              <wp:lineTo x="16088" y="8941"/>
              <wp:lineTo x="12970" y="7059"/>
              <wp:lineTo x="9603" y="5882"/>
              <wp:lineTo x="9104" y="5882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lianzaDN_logo_1color_negativo_trans_baja_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9961" cy="1165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2742421</wp:posOffset>
          </wp:positionH>
          <wp:positionV relativeFrom="paragraph">
            <wp:posOffset>-71372</wp:posOffset>
          </wp:positionV>
          <wp:extent cx="1419253" cy="750822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lianzaDN_logo_1color_negativo_trans_baja_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0040" cy="751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C51" w:rsidRDefault="00950C51">
      <w:pPr>
        <w:spacing w:after="0"/>
      </w:pPr>
      <w:r>
        <w:separator/>
      </w:r>
    </w:p>
  </w:footnote>
  <w:footnote w:type="continuationSeparator" w:id="0">
    <w:p w:rsidR="00950C51" w:rsidRDefault="00950C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98" w:rsidRDefault="000A6B98" w:rsidP="000A6B98">
    <w:pPr>
      <w:pStyle w:val="Encabezado"/>
      <w:jc w:val="right"/>
    </w:pPr>
    <w:r>
      <w:rPr>
        <w:noProof/>
      </w:rPr>
      <w:drawing>
        <wp:inline distT="0" distB="0" distL="0" distR="0">
          <wp:extent cx="1351935" cy="997857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urso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935" cy="997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911CB"/>
    <w:multiLevelType w:val="hybridMultilevel"/>
    <w:tmpl w:val="E7E6E10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D9"/>
    <w:rsid w:val="00000F56"/>
    <w:rsid w:val="00056763"/>
    <w:rsid w:val="000A6B98"/>
    <w:rsid w:val="000E0452"/>
    <w:rsid w:val="000E4DFB"/>
    <w:rsid w:val="000E6C52"/>
    <w:rsid w:val="00156D1A"/>
    <w:rsid w:val="001A3C02"/>
    <w:rsid w:val="001F5AF6"/>
    <w:rsid w:val="0029096C"/>
    <w:rsid w:val="00315695"/>
    <w:rsid w:val="003443BF"/>
    <w:rsid w:val="0038704A"/>
    <w:rsid w:val="00413119"/>
    <w:rsid w:val="00487E98"/>
    <w:rsid w:val="00493AE6"/>
    <w:rsid w:val="00557F67"/>
    <w:rsid w:val="0065141B"/>
    <w:rsid w:val="006558F5"/>
    <w:rsid w:val="006B79D8"/>
    <w:rsid w:val="00776FDE"/>
    <w:rsid w:val="0087651C"/>
    <w:rsid w:val="00920B1C"/>
    <w:rsid w:val="00950C51"/>
    <w:rsid w:val="009F0663"/>
    <w:rsid w:val="009F5E6B"/>
    <w:rsid w:val="00A04FCC"/>
    <w:rsid w:val="00A43313"/>
    <w:rsid w:val="00A761E6"/>
    <w:rsid w:val="00A95E5B"/>
    <w:rsid w:val="00AB27B6"/>
    <w:rsid w:val="00AC0271"/>
    <w:rsid w:val="00B41E74"/>
    <w:rsid w:val="00B8150B"/>
    <w:rsid w:val="00BB382B"/>
    <w:rsid w:val="00BF1DDC"/>
    <w:rsid w:val="00C33A36"/>
    <w:rsid w:val="00D649D9"/>
    <w:rsid w:val="00D66D81"/>
    <w:rsid w:val="00DC1DB4"/>
    <w:rsid w:val="00DC3D26"/>
    <w:rsid w:val="00E33D6F"/>
    <w:rsid w:val="00E87BED"/>
    <w:rsid w:val="00EA0F01"/>
    <w:rsid w:val="00F07DB9"/>
    <w:rsid w:val="00F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19FB6EF-9BDA-A24E-A843-D4D79B95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/>
    </w:pPr>
    <w:rPr>
      <w:rFonts w:ascii="Cambria" w:eastAsia="ヒラギノ角ゴ Pro W3" w:hAnsi="Cambria"/>
      <w:color w:val="000000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pPr>
      <w:tabs>
        <w:tab w:val="right" w:pos="9632"/>
      </w:tabs>
    </w:pPr>
    <w:rPr>
      <w:rFonts w:ascii="Helvetica" w:eastAsia="ヒラギノ角ゴ Pro W3" w:hAnsi="Helvetica"/>
      <w:color w:val="000000"/>
      <w:lang w:val="es-ES_tradnl" w:eastAsia="es-ES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 w:eastAsia="es-ES"/>
    </w:rPr>
  </w:style>
  <w:style w:type="paragraph" w:styleId="Encabezado">
    <w:name w:val="header"/>
    <w:basedOn w:val="Normal"/>
    <w:link w:val="EncabezadoCar"/>
    <w:locked/>
    <w:rsid w:val="000A6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A6B98"/>
    <w:rPr>
      <w:rFonts w:ascii="Cambria" w:eastAsia="ヒラギノ角ゴ Pro W3" w:hAnsi="Cambria"/>
      <w:color w:val="000000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0A6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A6B98"/>
    <w:rPr>
      <w:rFonts w:ascii="Cambria" w:eastAsia="ヒラギノ角ゴ Pro W3" w:hAnsi="Cambria"/>
      <w:color w:val="000000"/>
      <w:sz w:val="24"/>
      <w:szCs w:val="24"/>
      <w:lang w:val="en-US" w:eastAsia="en-US"/>
    </w:rPr>
  </w:style>
  <w:style w:type="character" w:customStyle="1" w:styleId="Ninguno">
    <w:name w:val="Ninguno"/>
    <w:rsid w:val="00EA0F01"/>
  </w:style>
  <w:style w:type="table" w:customStyle="1" w:styleId="TableNormal">
    <w:name w:val="Table Normal"/>
    <w:rsid w:val="00EA0F0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locked/>
    <w:rsid w:val="000E6C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6C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1F5AF6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es-ES" w:eastAsia="ja-JP"/>
    </w:rPr>
  </w:style>
  <w:style w:type="character" w:customStyle="1" w:styleId="apple-converted-space">
    <w:name w:val="apple-converted-space"/>
    <w:basedOn w:val="Fuentedeprrafopredeter"/>
    <w:rsid w:val="001F5AF6"/>
  </w:style>
  <w:style w:type="character" w:styleId="nfasis">
    <w:name w:val="Emphasis"/>
    <w:basedOn w:val="Fuentedeprrafopredeter"/>
    <w:uiPriority w:val="20"/>
    <w:qFormat/>
    <w:locked/>
    <w:rsid w:val="00776FDE"/>
    <w:rPr>
      <w:i/>
      <w:iCs/>
    </w:rPr>
  </w:style>
  <w:style w:type="character" w:styleId="Hipervnculovisitado">
    <w:name w:val="FollowedHyperlink"/>
    <w:basedOn w:val="Fuentedeprrafopredeter"/>
    <w:locked/>
    <w:rsid w:val="006514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xforpeace.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E4BE80-AAE5-3046-B593-106A641C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Links>
    <vt:vector size="24" baseType="variant">
      <vt:variant>
        <vt:i4>4718596</vt:i4>
      </vt:variant>
      <vt:variant>
        <vt:i4>9</vt:i4>
      </vt:variant>
      <vt:variant>
        <vt:i4>0</vt:i4>
      </vt:variant>
      <vt:variant>
        <vt:i4>5</vt:i4>
      </vt:variant>
      <vt:variant>
        <vt:lpwstr>http://www.aipaz.org/</vt:lpwstr>
      </vt:variant>
      <vt:variant>
        <vt:lpwstr/>
      </vt:variant>
      <vt:variant>
        <vt:i4>7929935</vt:i4>
      </vt:variant>
      <vt:variant>
        <vt:i4>6</vt:i4>
      </vt:variant>
      <vt:variant>
        <vt:i4>0</vt:i4>
      </vt:variant>
      <vt:variant>
        <vt:i4>5</vt:i4>
      </vt:variant>
      <vt:variant>
        <vt:lpwstr>mailto:info@aipaz.org</vt:lpwstr>
      </vt:variant>
      <vt:variant>
        <vt:lpwstr/>
      </vt:variant>
      <vt:variant>
        <vt:i4>4718596</vt:i4>
      </vt:variant>
      <vt:variant>
        <vt:i4>3</vt:i4>
      </vt:variant>
      <vt:variant>
        <vt:i4>0</vt:i4>
      </vt:variant>
      <vt:variant>
        <vt:i4>5</vt:i4>
      </vt:variant>
      <vt:variant>
        <vt:lpwstr>http://www.aipaz.org/</vt:lpwstr>
      </vt:variant>
      <vt:variant>
        <vt:lpwstr/>
      </vt:variant>
      <vt:variant>
        <vt:i4>7929935</vt:i4>
      </vt:variant>
      <vt:variant>
        <vt:i4>0</vt:i4>
      </vt:variant>
      <vt:variant>
        <vt:i4>0</vt:i4>
      </vt:variant>
      <vt:variant>
        <vt:i4>5</vt:i4>
      </vt:variant>
      <vt:variant>
        <vt:lpwstr>mailto:info@aipaz.org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Microsoft Office User</cp:lastModifiedBy>
  <cp:revision>11</cp:revision>
  <cp:lastPrinted>2023-06-06T08:56:00Z</cp:lastPrinted>
  <dcterms:created xsi:type="dcterms:W3CDTF">2023-06-06T08:52:00Z</dcterms:created>
  <dcterms:modified xsi:type="dcterms:W3CDTF">2024-02-21T19:25:00Z</dcterms:modified>
</cp:coreProperties>
</file>